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rsidRPr="004B186D" w:rsidR="007052D1" w:rsidP="007E2E76" w:rsidRDefault="007052D1" w14:paraId="d3c5664" w14:textId="d3c5664">
      <w:pPr>
        <w:spacing w:before="120" w:after="120" w:line="240"/>
        <w15:collapsed w:val="false"/>
        <w:rPr>
          <w:rFonts w:ascii="Times New Roman" w:hAnsi="Times New Roman" w:cs="Times New Roman"/>
          <w:sz w:val="24"/>
          <w:szCs w:val="24"/>
          <w:lang w:val="ru-RU"/>
        </w:rPr>
      </w:pPr>
    </w:p>
    <w:p>
      <w:pPr>
        <w:spacing w:before="120" w:after="120" w:line="240"/>
        <w:ind w:left="0"/>
        <w:jc w:val="right"/>
      </w:pPr>
      <w:r>
        <w:rPr>
          <w:rFonts w:hint="default" w:ascii="Times New Roman" w:hAnsi="Times New Roman"/>
          <w:b/>
          <w:i w:val="false"/>
          <w:color w:val="808080"/>
          <w:sz w:val="24"/>
        </w:rPr>
        <w:t>ИС BestProfi © 19.11.2018</w:t>
      </w:r>
    </w:p>
    <w:bookmarkStart w:name="618487952" w:id="0"/>
    <w:p>
      <w:pPr>
        <w:spacing w:before="120" w:after="120" w:line="240"/>
        <w:ind w:left="0"/>
        <w:jc w:val="center"/>
      </w:pPr>
      <w:hyperlink r:id="rId17">
        <w:r>
          <w:rPr>
            <w:rFonts w:hint="default" w:ascii="Times New Roman" w:hAnsi="Times New Roman"/>
            <w:b/>
            <w:i w:val="false"/>
            <w:color w:val="007fcc"/>
            <w:sz w:val="24"/>
            <w:u w:val="single"/>
          </w:rPr>
          <w:t>Об утверждении Правил устройства электроустановок</w:t>
        </w:r>
      </w:hyperlink>
      <w:r>
        <w:br/>
      </w:r>
      <w:r>
        <w:rPr>
          <w:rFonts w:hint="default" w:ascii="Times New Roman" w:hAnsi="Times New Roman"/>
          <w:b/>
          <w:i w:val="false"/>
          <w:color w:val="000000"/>
          <w:sz w:val="24"/>
        </w:rPr>
        <w:t>
Приказ Министра энергетики Республики Казахстан от 20 марта 2015 года № 230. Зарегистрирован в Министерстве юстиции Республики Казахстан 29 апреля 2015 года № 10851</w:t>
      </w:r>
    </w:p>
    <w:bookmarkEnd w:id="0"/>
    <w:bookmarkStart w:name="967923696" w:id="1"/>
    <w:p>
      <w:pPr>
        <w:spacing w:before="120" w:after="120" w:line="240"/>
        <w:ind w:left="0"/>
        <w:jc w:val="center"/>
      </w:pPr>
      <w:r>
        <w:rPr>
          <w:rFonts w:hint="default" w:ascii="Times New Roman" w:hAnsi="Times New Roman"/>
          <w:b w:val="false"/>
          <w:i/>
          <w:color w:val="ff0000"/>
          <w:sz w:val="24"/>
        </w:rPr>
        <w:t>Редакция с изменениями и дополнениями по состоянию на 25.12.2017 г.</w:t>
      </w:r>
    </w:p>
    <w:bookmarkEnd w:id="1"/>
    <w:bookmarkStart w:name="637601456" w:id="2"/>
    <w:p>
      <w:pPr>
        <w:spacing w:before="120" w:after="120" w:line="240"/>
        <w:ind w:left="0"/>
        <w:jc w:val="both"/>
      </w:pPr>
      <w:r>
        <w:rPr>
          <w:rFonts w:hint="default" w:ascii="Times New Roman" w:hAnsi="Times New Roman"/>
          <w:b w:val="false"/>
          <w:i w:val="false"/>
          <w:color w:val="000000"/>
          <w:sz w:val="24"/>
        </w:rPr>
        <w:t xml:space="preserve">В соответствии с </w:t>
      </w:r>
      <w:hyperlink r:id="rId18">
        <w:r>
          <w:rPr>
            <w:rFonts w:hint="default" w:ascii="Times New Roman" w:hAnsi="Times New Roman"/>
            <w:b w:val="false"/>
            <w:i w:val="false"/>
            <w:color w:val="007fcc"/>
            <w:sz w:val="24"/>
            <w:u w:val="single"/>
          </w:rPr>
          <w:t>подпунктом 19</w:t>
        </w:r>
      </w:hyperlink>
      <w:r>
        <w:rPr>
          <w:rFonts w:hint="default" w:ascii="Times New Roman" w:hAnsi="Times New Roman"/>
          <w:b w:val="false"/>
          <w:i w:val="false"/>
          <w:color w:val="000000"/>
          <w:sz w:val="24"/>
        </w:rPr>
        <w:t xml:space="preserve"> статьи </w:t>
      </w:r>
      <w:hyperlink r:id="rId19">
        <w:r>
          <w:rPr>
            <w:rFonts w:hint="default" w:ascii="Times New Roman" w:hAnsi="Times New Roman"/>
            <w:b w:val="false"/>
            <w:i w:val="false"/>
            <w:color w:val="007fcc"/>
            <w:sz w:val="24"/>
            <w:u w:val="single"/>
          </w:rPr>
          <w:t>5</w:t>
        </w:r>
      </w:hyperlink>
      <w:r>
        <w:rPr>
          <w:rFonts w:hint="default" w:ascii="Times New Roman" w:hAnsi="Times New Roman"/>
          <w:b w:val="false"/>
          <w:i w:val="false"/>
          <w:color w:val="000000"/>
          <w:sz w:val="24"/>
        </w:rPr>
        <w:t xml:space="preserve"> Закона Республики Казахстан от 9 июля 2004 года «Об электроэнергетике» </w:t>
      </w:r>
      <w:r>
        <w:rPr>
          <w:rFonts w:hint="default" w:ascii="Times New Roman" w:hAnsi="Times New Roman"/>
          <w:b/>
          <w:i w:val="false"/>
          <w:color w:val="000000"/>
          <w:sz w:val="24"/>
        </w:rPr>
        <w:t>ПРИКАЗЫВАЮ:</w:t>
      </w:r>
    </w:p>
    <w:bookmarkEnd w:id="2"/>
    <w:bookmarkStart w:name="637601457" w:id="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Утвердить прилагаемые Правила устройства электроустановок.</w:t>
      </w:r>
    </w:p>
    <w:bookmarkEnd w:id="3"/>
    <w:bookmarkStart w:name="637601458" w:id="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Департаменту электроэнергетики Министерства энергетики Республики Казахстан в установленном законодательством Республики Казахстан порядке обеспечить:</w:t>
      </w:r>
    </w:p>
    <w:bookmarkEnd w:id="4"/>
    <w:bookmarkStart w:name="637601459" w:id="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государственную регистрацию настоящего приказа в Министерстве юстиции Республики Казахстан;</w:t>
      </w:r>
    </w:p>
    <w:bookmarkEnd w:id="5"/>
    <w:bookmarkStart w:name="637601460" w:id="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направление на официальное опубликование копии настоящего приказа в течение десяти календарных дней после его государственной регистрации в Министерстве юстиции Республики Казахстан в периодических печатных изданиях и в информационно-правовой системе «Әділет»;</w:t>
      </w:r>
    </w:p>
    <w:bookmarkEnd w:id="6"/>
    <w:bookmarkStart w:name="637601461" w:id="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размещение настоящего приказа на официальном интернет-ресурсе Министерства энергетики Республики Казахстан и на интранет-портале государственных органов;</w:t>
      </w:r>
    </w:p>
    <w:bookmarkEnd w:id="7"/>
    <w:bookmarkStart w:name="637601462" w:id="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 предусмотренных подпунктами 2) и 3) настоящего пункта.</w:t>
      </w:r>
    </w:p>
    <w:bookmarkEnd w:id="8"/>
    <w:bookmarkStart w:name="637601463" w:id="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Контроль за исполнением настоящего приказа возложить на курирующего вице-министра энергетики Республики Казахстан.</w:t>
      </w:r>
    </w:p>
    <w:bookmarkEnd w:id="9"/>
    <w:bookmarkStart w:name="637601464" w:id="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Настоящий приказ вводится в действие по истечении десяти календарных дней после дня его первого официального опубликования.</w:t>
      </w:r>
    </w:p>
    <w:bookmarkEnd w:id="10"/>
    <w:bookmarkStart w:name="637601465" w:id="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Министр энергетики Республики Казахстан В. Школьник</w:t>
      </w:r>
    </w:p>
    <w:bookmarkEnd w:id="11"/>
    <w:bookmarkStart w:name="637601467" w:id="12"/>
    <w:p>
      <w:pPr>
        <w:spacing w:before="120" w:after="120" w:line="240"/>
        <w:ind w:left="0"/>
        <w:jc w:val="right"/>
      </w:pPr>
      <w:r>
        <w:rPr>
          <w:rFonts w:hint="default" w:ascii="Times New Roman" w:hAnsi="Times New Roman"/>
          <w:b/>
          <w:i w:val="false"/>
          <w:color w:val="000000"/>
          <w:sz w:val="24"/>
        </w:rPr>
        <w:t>Утверждены</w:t>
      </w:r>
      <w:r>
        <w:br/>
      </w:r>
      <w:r>
        <w:rPr>
          <w:rFonts w:hint="default" w:ascii="Times New Roman" w:hAnsi="Times New Roman"/>
          <w:b/>
          <w:i w:val="false"/>
          <w:color w:val="000000"/>
          <w:sz w:val="24"/>
        </w:rPr>
        <w:t>
приказом Министра энергетики</w:t>
      </w:r>
      <w:r>
        <w:br/>
      </w:r>
      <w:r>
        <w:rPr>
          <w:rFonts w:hint="default" w:ascii="Times New Roman" w:hAnsi="Times New Roman"/>
          <w:b/>
          <w:i w:val="false"/>
          <w:color w:val="000000"/>
          <w:sz w:val="24"/>
        </w:rPr>
        <w:t>
Республики Казахстан</w:t>
      </w:r>
      <w:r>
        <w:br/>
      </w:r>
      <w:r>
        <w:rPr>
          <w:rFonts w:hint="default" w:ascii="Times New Roman" w:hAnsi="Times New Roman"/>
          <w:b/>
          <w:i w:val="false"/>
          <w:color w:val="000000"/>
          <w:sz w:val="24"/>
        </w:rPr>
        <w:t>
от 20 марта 2015 года № 230</w:t>
      </w:r>
    </w:p>
    <w:bookmarkEnd w:id="12"/>
    <w:bookmarkStart w:name="637601468" w:id="13"/>
    <w:p>
      <w:pPr>
        <w:spacing w:before="120" w:after="120" w:line="240"/>
        <w:ind w:left="0"/>
        <w:jc w:val="center"/>
      </w:pPr>
      <w:r>
        <w:rPr>
          <w:rFonts w:hint="default" w:ascii="Times New Roman" w:hAnsi="Times New Roman"/>
          <w:b/>
          <w:i w:val="false"/>
          <w:color w:val="000000"/>
          <w:sz w:val="24"/>
        </w:rPr>
        <w:t>Правила устройства электроустановок</w:t>
      </w:r>
      <w:r>
        <w:br/>
      </w:r>
      <w:r>
        <w:rPr>
          <w:rFonts w:hint="default" w:ascii="Times New Roman" w:hAnsi="Times New Roman"/>
          <w:b/>
          <w:i w:val="false"/>
          <w:color w:val="000000"/>
          <w:sz w:val="24"/>
        </w:rPr>
        <w:t>
Раздел 1. Порядок устройства электроустановок</w:t>
      </w:r>
    </w:p>
    <w:bookmarkEnd w:id="13"/>
    <w:bookmarkStart w:name="637601469" w:id="14"/>
    <w:p>
      <w:pPr>
        <w:spacing w:before="120" w:after="120" w:line="240"/>
        <w:ind w:left="0"/>
        <w:jc w:val="center"/>
      </w:pPr>
      <w:r>
        <w:rPr>
          <w:rFonts w:hint="default" w:ascii="Times New Roman" w:hAnsi="Times New Roman"/>
          <w:b/>
          <w:i w:val="false"/>
          <w:color w:val="000000"/>
          <w:sz w:val="24"/>
        </w:rPr>
        <w:t>1. Общие положения</w:t>
      </w:r>
    </w:p>
    <w:bookmarkEnd w:id="14"/>
    <w:bookmarkStart w:name="637601470" w:id="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Настоящие Правила устройства электроустановок (далее - Правила) разработаны в соответствии с подпунктом </w:t>
      </w:r>
      <w:hyperlink r:id="rId20">
        <w:r>
          <w:rPr>
            <w:rFonts w:hint="default" w:ascii="Times New Roman" w:hAnsi="Times New Roman"/>
            <w:b w:val="false"/>
            <w:i w:val="false"/>
            <w:color w:val="007fcc"/>
            <w:sz w:val="24"/>
            <w:u w:val="single"/>
          </w:rPr>
          <w:t>19</w:t>
        </w:r>
      </w:hyperlink>
      <w:r>
        <w:rPr>
          <w:rFonts w:hint="default" w:ascii="Times New Roman" w:hAnsi="Times New Roman"/>
          <w:b w:val="false"/>
          <w:i w:val="false"/>
          <w:color w:val="000000"/>
          <w:sz w:val="24"/>
        </w:rPr>
        <w:t xml:space="preserve">) статьи </w:t>
      </w:r>
      <w:hyperlink r:id="rId21">
        <w:r>
          <w:rPr>
            <w:rFonts w:hint="default" w:ascii="Times New Roman" w:hAnsi="Times New Roman"/>
            <w:b w:val="false"/>
            <w:i w:val="false"/>
            <w:color w:val="007fcc"/>
            <w:sz w:val="24"/>
            <w:u w:val="single"/>
          </w:rPr>
          <w:t>5</w:t>
        </w:r>
      </w:hyperlink>
      <w:r>
        <w:rPr>
          <w:rFonts w:hint="default" w:ascii="Times New Roman" w:hAnsi="Times New Roman"/>
          <w:b w:val="false"/>
          <w:i w:val="false"/>
          <w:color w:val="000000"/>
          <w:sz w:val="24"/>
        </w:rPr>
        <w:t xml:space="preserve"> Закона Республики Казахстан «Об электроэнергетике» (далее - Закон) и определяют устройства электроустановок.</w:t>
      </w:r>
    </w:p>
    <w:bookmarkEnd w:id="15"/>
    <w:bookmarkStart w:name="637601471" w:id="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настоящих Правилах применяются следующие понятия и термины:</w:t>
      </w:r>
    </w:p>
    <w:bookmarkEnd w:id="16"/>
    <w:bookmarkStart w:name="637601472" w:id="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электроустановки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и передачи электрической энергии и преобразования ее в другой вид энергии.</w:t>
      </w:r>
      <w:r>
        <w:br/>
      </w:r>
      <w:r>
        <w:rPr>
          <w:rFonts w:hint="default" w:ascii="Times New Roman" w:hAnsi="Times New Roman"/>
          <w:b w:val="false"/>
          <w:i/>
          <w:color w:val="ff0000"/>
          <w:sz w:val="24"/>
        </w:rPr>
        <w:t xml:space="preserve">
Подпункт 1 изложен в новой редакции Приказа Министра энергетики РК от 25.12.2017 г. № 471 (см. редакцию от </w:t>
      </w:r>
      <w:hyperlink r:id="rId22">
        <w:r>
          <w:rPr>
            <w:rFonts w:hint="default" w:ascii="Times New Roman" w:hAnsi="Times New Roman"/>
            <w:b w:val="false"/>
            <w:i/>
            <w:color w:val="007fcc"/>
            <w:sz w:val="24"/>
            <w:u w:val="single"/>
          </w:rPr>
          <w:t>31.05.2016</w:t>
        </w:r>
      </w:hyperlink>
      <w:r>
        <w:rPr>
          <w:rFonts w:hint="default" w:ascii="Times New Roman" w:hAnsi="Times New Roman"/>
          <w:b w:val="false"/>
          <w:i/>
          <w:color w:val="ff0000"/>
          <w:sz w:val="24"/>
        </w:rPr>
        <w:t xml:space="preserve"> г.) (подлежит введению в действие по истечении 10 (десяти) календарных дней после дня его первого официального опубликования)</w:t>
      </w:r>
      <w:r>
        <w:br/>
      </w:r>
      <w:r>
        <w:rPr>
          <w:rFonts w:hint="default" w:ascii="Times New Roman" w:hAnsi="Times New Roman"/>
          <w:b w:val="false"/>
          <w:i/>
          <w:color w:val="ff0000"/>
          <w:sz w:val="24"/>
        </w:rPr>
        <w:t>
 Опубликовано в ИС "Эталонный контрольный банк НПА РК в электронном виде" от 19.01.2018 г.</w:t>
      </w:r>
    </w:p>
    <w:bookmarkEnd w:id="17"/>
    <w:bookmarkStart w:name="637601473" w:id="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Электроустановки по условиям электробезопасности разделяются Правилами на электроустановки до 1 кВ и электроустановки выше 1 кВ (по действующему значению напряжения);</w:t>
      </w:r>
    </w:p>
    <w:bookmarkEnd w:id="18"/>
    <w:bookmarkStart w:name="637601474" w:id="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открытые или наружные электроустановки – электроустановки, не защищенные зданием от атмосферных воздействий.</w:t>
      </w:r>
    </w:p>
    <w:bookmarkEnd w:id="19"/>
    <w:bookmarkStart w:name="637601475" w:id="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Электроустановки, защищенные только навесами, сетчатыми ограждениями, рассматриваются как наружные;</w:t>
      </w:r>
    </w:p>
    <w:bookmarkEnd w:id="20"/>
    <w:bookmarkStart w:name="637601476" w:id="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закрытые или внутренние электроустановки – электроустановки, размещенные внутри здания, защищающего их от атмосферных воздействий;</w:t>
      </w:r>
    </w:p>
    <w:bookmarkEnd w:id="21"/>
    <w:bookmarkStart w:name="637601477" w:id="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электропомещения – помещения или отгороженные части помещения, доступные только для квалифицированного обслуживающего персонала, в которых расположены электроустановки;</w:t>
      </w:r>
    </w:p>
    <w:bookmarkEnd w:id="22"/>
    <w:bookmarkStart w:name="637601478" w:id="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сухие помещения – помещения, в которых относительная влажность воздуха не превышает 60 %. При отсутствии в таких помещениях условий, приведенных в подпунктах 9) – 11) пункта 2 настоящих Правил они называются нормальными;</w:t>
      </w:r>
    </w:p>
    <w:bookmarkEnd w:id="23"/>
    <w:bookmarkStart w:name="637601479" w:id="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сырые помещения – помещения, в которых относительная влажность воздуха длительно превышает 75 %;</w:t>
      </w:r>
    </w:p>
    <w:bookmarkEnd w:id="24"/>
    <w:bookmarkStart w:name="637601480" w:id="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особо сырые помещения – помещения, в которых относительная влажность воздуха близка к 100 % (потолок, стены, пол и предметы, находящиеся в помещении, покрыты влагой);</w:t>
      </w:r>
    </w:p>
    <w:bookmarkEnd w:id="25"/>
    <w:bookmarkStart w:name="637601481" w:id="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пыльные помещения –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w:t>
      </w:r>
    </w:p>
    <w:bookmarkEnd w:id="26"/>
    <w:bookmarkStart w:name="637601482" w:id="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Пыльные помещения разделяются на помещения с токопроводящей пылью и помещения с нетокопроводящей пылью;</w:t>
      </w:r>
    </w:p>
    <w:bookmarkEnd w:id="27"/>
    <w:bookmarkStart w:name="637601483" w:id="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помещения с химически активной или органической средой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bookmarkEnd w:id="28"/>
    <w:bookmarkStart w:name="637601484" w:id="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маслонаполненные аппараты –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p>
    <w:bookmarkEnd w:id="29"/>
    <w:bookmarkStart w:name="637601485" w:id="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номинальные значения параметра (номинальный параметр) –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p>
    <w:bookmarkEnd w:id="30"/>
    <w:bookmarkStart w:name="637601486" w:id="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квалифицированный обслуживающий персонал – специально подготовленные лица, прошедшие проверку знаний в объеме, обязательном для данной работы (должности), и имеющие квалификационную группу по технике безопасности, предусмотренную Правилами техники безопасности при эксплуатации электроустановок, утверждаемым в соответствии с подпунктом 17) статьи 5 Закона;</w:t>
      </w:r>
    </w:p>
    <w:bookmarkEnd w:id="31"/>
    <w:bookmarkStart w:name="637601487" w:id="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bookmarkEnd w:id="32"/>
    <w:bookmarkStart w:name="637601488" w:id="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электрическая часть энергосистемы – совокупность электроустановок электрических станций и электрических сетей энергосистемы;</w:t>
      </w:r>
    </w:p>
    <w:bookmarkEnd w:id="33"/>
    <w:bookmarkStart w:name="637601489" w:id="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электроэнергетическая система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bookmarkEnd w:id="34"/>
    <w:bookmarkStart w:name="637601490" w:id="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 электроснабжение – обеспечение потребителей электрической энергией;</w:t>
      </w:r>
    </w:p>
    <w:bookmarkEnd w:id="35"/>
    <w:bookmarkStart w:name="637601491" w:id="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 система электроснабжения – совокупность электроустановок, предназначенных для обеспечения потребителей электрической энергией;</w:t>
      </w:r>
    </w:p>
    <w:bookmarkEnd w:id="36"/>
    <w:bookmarkStart w:name="637601492" w:id="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 централизованное электроснабжение – электроснабжение потребителей от энергосистемы;</w:t>
      </w:r>
    </w:p>
    <w:bookmarkEnd w:id="37"/>
    <w:bookmarkStart w:name="637601493" w:id="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 электрическая сеть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bookmarkEnd w:id="38"/>
    <w:bookmarkStart w:name="637601494" w:id="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 приемник электрической энергии (электроприемник) – аппарат, агрегат, механизм, предназначенные для преобразования электрической энергии в другой вид энергии;</w:t>
      </w:r>
    </w:p>
    <w:bookmarkEnd w:id="39"/>
    <w:bookmarkStart w:name="637601495" w:id="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 потребитель - физическое или юридическое лицо, потребляющее на основе договора электрическую и (или) тепловую энергию;</w:t>
      </w:r>
      <w:r>
        <w:br/>
      </w:r>
      <w:r>
        <w:rPr>
          <w:rFonts w:hint="default" w:ascii="Times New Roman" w:hAnsi="Times New Roman"/>
          <w:b w:val="false"/>
          <w:i/>
          <w:color w:val="ff0000"/>
          <w:sz w:val="24"/>
        </w:rPr>
        <w:t xml:space="preserve">
Подпункт 21 изложен в новой редакции Приказа Министра энергетики РК от 31.05.2016 г. № 228 (см. редакцию от </w:t>
      </w:r>
      <w:hyperlink r:id="rId23">
        <w:r>
          <w:rPr>
            <w:rFonts w:hint="default" w:ascii="Times New Roman" w:hAnsi="Times New Roman"/>
            <w:b w:val="false"/>
            <w:i/>
            <w:color w:val="007fcc"/>
            <w:sz w:val="24"/>
            <w:u w:val="single"/>
          </w:rPr>
          <w:t>20.03.2015</w:t>
        </w:r>
      </w:hyperlink>
      <w:r>
        <w:rPr>
          <w:rFonts w:hint="default" w:ascii="Times New Roman" w:hAnsi="Times New Roman"/>
          <w:b w:val="false"/>
          <w:i/>
          <w:color w:val="ff0000"/>
          <w:sz w:val="24"/>
        </w:rPr>
        <w:t xml:space="preserve"> г.) (подлежит введению в действие по истечении 10 (десяти) календарных дней после первого официального опубликования)</w:t>
      </w:r>
      <w:r>
        <w:br/>
      </w:r>
      <w:r>
        <w:rPr>
          <w:rFonts w:hint="default" w:ascii="Times New Roman" w:hAnsi="Times New Roman"/>
          <w:b w:val="false"/>
          <w:i/>
          <w:color w:val="ff0000"/>
          <w:sz w:val="24"/>
        </w:rPr>
        <w:t>
 Опубликовано в ИПС нормативных правовых актов РК «Әділет» 08.08.2016 г.</w:t>
      </w:r>
    </w:p>
    <w:bookmarkEnd w:id="40"/>
    <w:bookmarkStart w:name="637601496" w:id="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 независимый источник питания электроприемника или группы электроприемников –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электроприемников.</w:t>
      </w:r>
    </w:p>
    <w:bookmarkEnd w:id="41"/>
    <w:bookmarkStart w:name="637601497" w:id="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bookmarkEnd w:id="42"/>
    <w:bookmarkStart w:name="637601498" w:id="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каждая из секций или систем шин в свою очередь имеет питание от независимого источника питания;</w:t>
      </w:r>
    </w:p>
    <w:bookmarkEnd w:id="43"/>
    <w:bookmarkStart w:name="637601499" w:id="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секции (системы) шин не связаны между собой или имеют связь, автоматически отключающуюся при нарушении нормальной работы одной из секций (систем) шин;</w:t>
      </w:r>
    </w:p>
    <w:bookmarkEnd w:id="44"/>
    <w:bookmarkStart w:name="637601500" w:id="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 коммерческий учет электроэнергии – определение значений электроэнергии с целью проведения коммерческих расчетов между субъектами рынка;</w:t>
      </w:r>
    </w:p>
    <w:bookmarkEnd w:id="45"/>
    <w:bookmarkStart w:name="637601501" w:id="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 контроль мощности – текущий (в режиме реального времени) контроль за выполнением графика выработки и потребления электрической мощности;</w:t>
      </w:r>
    </w:p>
    <w:bookmarkEnd w:id="46"/>
    <w:bookmarkStart w:name="637601502" w:id="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 счетчик коммерческого учета – техническое устройство, разрешенное к применению в установленном законодательством порядке, предназначенное для коммерческого учета электрической энергии;</w:t>
      </w:r>
    </w:p>
    <w:bookmarkEnd w:id="47"/>
    <w:bookmarkStart w:name="637601503" w:id="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 коммерческий измерительный комплекс учета электроэнергии (далее – ИКУЭ) – совокупность средств измерительной техники (масштабных измерительных преобразователей – трансформаторов тока (далее – ТТ) и напряжения (далее – ТН), автоматизированного средства измерений – счетчика электроэнергии), соединенных между собой линиями связи (вторичными цепями) в соответствии с технической и нормативной документацией и образующих непрерывный путь прохождения измерительного сигнала для измерения значения электроэнергии и других электрических величин в точке учета;</w:t>
      </w:r>
    </w:p>
    <w:bookmarkEnd w:id="48"/>
    <w:bookmarkStart w:name="637601504" w:id="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 автоматизированная система коммерческого учета электроэнергии (далее – АСКУЭ) – комплекс технических средств, в котором ИКУЭ, установленные на энергообъектах, объединены соответствующим оборудованием сбора, передачи и обработки результатов измерения для автоматизированного определения значения электроэнергии, перемещаемой через точки учета.</w:t>
      </w:r>
    </w:p>
    <w:bookmarkEnd w:id="49"/>
    <w:bookmarkStart w:name="637601505" w:id="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Коммерческие счетчики должны выполнять функции накопления, хранения, кодирования информации и с заданным интервалом времени автоматически передавать в устройства сбора и хранения данные коммерческого учета и информацию об учтенной электроэнергии, зафиксированную на каждый заданный момент замера мощности;</w:t>
      </w:r>
    </w:p>
    <w:bookmarkEnd w:id="50"/>
    <w:bookmarkStart w:name="637601506" w:id="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 технический (контрольный) учет электроэнергии – учет для контроля расхода электроэнергии внутри электростанций, подстанций, предприятий;</w:t>
      </w:r>
    </w:p>
    <w:bookmarkEnd w:id="51"/>
    <w:bookmarkStart w:name="637601507" w:id="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 электрическая сеть с эффективно заземленной нейтралью – трехфазная электрическая сеть напряжением выше 1 кВ, в которой коэффициент замыкания на землю не превышает 1,4.</w:t>
      </w:r>
    </w:p>
    <w:bookmarkEnd w:id="52"/>
    <w:bookmarkStart w:name="637601508" w:id="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Коэффициент замыкания на землю в трехфазной электрической сети определяется отношением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bookmarkEnd w:id="53"/>
    <w:bookmarkStart w:name="637601509" w:id="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 глухозаземленная нейтраль – нейтраль трансформатора или генератора, присоединенная к заземляющему устройству непосредственно или через малое сопротивление;</w:t>
      </w:r>
    </w:p>
    <w:bookmarkEnd w:id="54"/>
    <w:bookmarkStart w:name="637601510" w:id="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 изолированная нейтраль – нейтраль трансформатора или генератора, неприсоединенная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w:t>
      </w:r>
    </w:p>
    <w:bookmarkEnd w:id="55"/>
    <w:bookmarkStart w:name="637601511" w:id="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 заземление – преднамеренное электрическое соединение какой-либо точки сети, электроустановки или оборудования с заземляющим устройством;</w:t>
      </w:r>
    </w:p>
    <w:bookmarkEnd w:id="56"/>
    <w:bookmarkStart w:name="637601512" w:id="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 защитное заземление – заземление, выполняемое с целью обеспечения электробезопасности;</w:t>
      </w:r>
    </w:p>
    <w:bookmarkEnd w:id="57"/>
    <w:bookmarkStart w:name="637601513" w:id="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 рабочее заземление – заземление какой-либо точки токоведущих частей электроустановки, необходимое для обеспечения работы электроустановки;</w:t>
      </w:r>
    </w:p>
    <w:bookmarkEnd w:id="58"/>
    <w:bookmarkStart w:name="637601514" w:id="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 зануление в электроустановках напряжением до 1 кВ –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bookmarkEnd w:id="59"/>
    <w:bookmarkStart w:name="637601515" w:id="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 замыкание на землю – случайное соединение находящихся под напряжением токоведущих частей электроустановки с землей. Замыканием на корпус называется случайное соединение находящихся под напряжением частей электроустановки с их конструктивными частями, нормально не находящимися под напряжением;</w:t>
      </w:r>
    </w:p>
    <w:bookmarkEnd w:id="60"/>
    <w:bookmarkStart w:name="637601516" w:id="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 заземляющее устройство – совокупность заземлителя и заземляющих проводников;</w:t>
      </w:r>
    </w:p>
    <w:bookmarkEnd w:id="61"/>
    <w:bookmarkStart w:name="637601517" w:id="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 заземлитель – проводник или совокупность металлически соединенных между собой проводников, находящихся в соприкосновении с землей;</w:t>
      </w:r>
    </w:p>
    <w:bookmarkEnd w:id="62"/>
    <w:bookmarkStart w:name="637601518" w:id="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 искусственный заземлитель – заземлитель, специально выполняемый для целей заземления;</w:t>
      </w:r>
    </w:p>
    <w:bookmarkEnd w:id="63"/>
    <w:bookmarkStart w:name="637601519" w:id="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 естественный заземлитель –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p>
    <w:bookmarkEnd w:id="64"/>
    <w:bookmarkStart w:name="637601520" w:id="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 главная заземляющая шина – шина, являющаяся частью заземляющего устройства электроустановки напряжением до 1 кВ и предназначенная для присоединения нескольких проводников с целью заземления и уравнивания потенциалов;</w:t>
      </w:r>
    </w:p>
    <w:bookmarkEnd w:id="65"/>
    <w:bookmarkStart w:name="637601521" w:id="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 открытая проводящая часть – электропроводящая часть электроустановки, доступная прикосновению человека, нормально не находящаяся под напряжением, но которая может оказаться под напряжением при нарушении изоляции;</w:t>
      </w:r>
    </w:p>
    <w:bookmarkEnd w:id="66"/>
    <w:bookmarkStart w:name="637601522" w:id="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 сторонняя проводящая часть – электропроводящая часть, которая не является частью электроустановки;</w:t>
      </w:r>
    </w:p>
    <w:bookmarkEnd w:id="67"/>
    <w:bookmarkStart w:name="637601523" w:id="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 токоведущая часть – электропроводящая часть электроустановки, находящаяся в процессе работы под рабочим напряжением;</w:t>
      </w:r>
    </w:p>
    <w:bookmarkEnd w:id="68"/>
    <w:bookmarkStart w:name="637601524" w:id="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 заземляющий проводник – проводник, соединяющий заземляемые части с заземлителем;</w:t>
      </w:r>
    </w:p>
    <w:bookmarkEnd w:id="69"/>
    <w:bookmarkStart w:name="637601525" w:id="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 защитный проводник – проводник, предназначенный для целей электробезопасности;</w:t>
      </w:r>
    </w:p>
    <w:bookmarkEnd w:id="70"/>
    <w:bookmarkStart w:name="637601526" w:id="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 защитный заземляющий проводник – защитный проводник, предназначенный для защитного заземления;</w:t>
      </w:r>
    </w:p>
    <w:bookmarkEnd w:id="71"/>
    <w:bookmarkStart w:name="637601527" w:id="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 защитный проводник уравнивания потенциалов – защитный проводник, предназначенный для защитного уравнивания потенциалов;</w:t>
      </w:r>
    </w:p>
    <w:bookmarkEnd w:id="72"/>
    <w:bookmarkStart w:name="637601528" w:id="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 нулевой защитный проводник – защитный проводник в электроустановках напряжением до 1 кВ, предназначенный для присоединения открытых проводящих частей к глухозаземленной нейтрали источника питания;</w:t>
      </w:r>
    </w:p>
    <w:bookmarkEnd w:id="73"/>
    <w:bookmarkStart w:name="637601529" w:id="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 нулевой рабочий проводник – проводник, используемый для питания электроприемников напряжением до 1 кВ,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bookmarkEnd w:id="74"/>
    <w:bookmarkStart w:name="637601530" w:id="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 совмещенный нулевым рабочим и нулевым защитным проводник – проводник, сочетающий функции нулевого защитного и нулевого рабочего проводника;</w:t>
      </w:r>
    </w:p>
    <w:bookmarkEnd w:id="75"/>
    <w:bookmarkStart w:name="637601531" w:id="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 зона растекания – область земли между заземлителем и зоной нулевого потенциала;</w:t>
      </w:r>
    </w:p>
    <w:bookmarkEnd w:id="76"/>
    <w:bookmarkStart w:name="637601532" w:id="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 зона нулевого потенциала – область земли, находящаяся вне зоны влияния какого-либо заземлителя, электрический потенциал которой принимается равным нулю;</w:t>
      </w:r>
    </w:p>
    <w:bookmarkEnd w:id="77"/>
    <w:bookmarkStart w:name="637601533" w:id="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 напряжение на заземляющем устройстве – напряжение, возникающее при стекании тока с заземлителя в землю между точкой ввода тока в заземляющее устройство и зоной нулевого потенциала;</w:t>
      </w:r>
    </w:p>
    <w:bookmarkEnd w:id="78"/>
    <w:bookmarkStart w:name="637601534" w:id="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 напряжение прикосновения – напряжение между двумя электропроводящими частями или между проводящей частью и землей при одновременном прикосновении к ним человека;</w:t>
      </w:r>
    </w:p>
    <w:bookmarkEnd w:id="79"/>
    <w:bookmarkStart w:name="637601535" w:id="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 напряжение шага – напряжение между двумя точками на поверхности земли на расстоянии 1 метра одна от другой, которое принимается равным длине шага человека;</w:t>
      </w:r>
    </w:p>
    <w:bookmarkEnd w:id="80"/>
    <w:bookmarkStart w:name="637601536" w:id="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 защита от прямого прикосновения – защита для предотвращения прикосновения к токоведущим частям, находящимся под напряжением;</w:t>
      </w:r>
    </w:p>
    <w:bookmarkEnd w:id="81"/>
    <w:bookmarkStart w:name="637601537" w:id="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bookmarkEnd w:id="82"/>
    <w:bookmarkStart w:name="637601538" w:id="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 сопротивление заземляющего устройства – отношение напряжения на заземляющем устройстве к току, стекающему с заземлителя в землю;</w:t>
      </w:r>
    </w:p>
    <w:bookmarkEnd w:id="83"/>
    <w:bookmarkStart w:name="637601539" w:id="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 эквивалентное удельное сопротивление земли с неоднородной структурой –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bookmarkEnd w:id="84"/>
    <w:bookmarkStart w:name="637601540" w:id="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Термин «удельное сопротивление», применяемый в настоящих Правилах, для земли с неоднородной структурой следует понимать как «эквивалентное удельное сопротивление»;</w:t>
      </w:r>
    </w:p>
    <w:bookmarkEnd w:id="85"/>
    <w:bookmarkStart w:name="637601541" w:id="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 защитное автоматическое отключение – автоматическое размыкание цепи одного или нескольких фазных проводников и, при необходимости, нулевого рабочего проводника в целях электробезопасности.</w:t>
      </w:r>
    </w:p>
    <w:bookmarkEnd w:id="86"/>
    <w:bookmarkStart w:name="637601542" w:id="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Термин «автоматическое отключение питания», используемый в настоящих Правилах, следует понимать как «защитное автоматическое отключение питания»;</w:t>
      </w:r>
    </w:p>
    <w:bookmarkEnd w:id="87"/>
    <w:bookmarkStart w:name="637601543" w:id="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 уравнивание потенциалов – электрическое соединение проводящих частей для достижения равенства их потенциалов;</w:t>
      </w:r>
    </w:p>
    <w:bookmarkEnd w:id="88"/>
    <w:bookmarkStart w:name="637601544" w:id="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 защитное уравнивание потенциалов – уравнивание потенциалов, выполняемое в целях электробезопасности.</w:t>
      </w:r>
    </w:p>
    <w:bookmarkEnd w:id="89"/>
    <w:bookmarkStart w:name="637601545" w:id="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Термин «уравнивание потенциалов», используемый в настоящих Правилах, следует понимать как «защитное уравнивание потенциалов»;</w:t>
      </w:r>
    </w:p>
    <w:bookmarkEnd w:id="90"/>
    <w:bookmarkStart w:name="637601546" w:id="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 выравнивание потенциалов – снижение разности потенциалов (напряжения шага)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bookmarkEnd w:id="91"/>
    <w:bookmarkStart w:name="637601547" w:id="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 основная изоляция – изоляция токоведущих частей, обеспечивающая, помимо основного назначения, защиту от прямого прикосновения;</w:t>
      </w:r>
    </w:p>
    <w:bookmarkEnd w:id="92"/>
    <w:bookmarkStart w:name="637601548" w:id="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 дополнительная изоляция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bookmarkEnd w:id="93"/>
    <w:bookmarkStart w:name="637601549" w:id="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 двойная изоляция – совокупность основной и дополнительной изоляций;</w:t>
      </w:r>
    </w:p>
    <w:bookmarkEnd w:id="94"/>
    <w:bookmarkStart w:name="637601550" w:id="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 усиленная изоляция – изоляция в электроустановках напряжением до 1 кВ, обеспечивающая степень защиты от поражения электрическим током, равноценную защите, обеспеченной двойной изоляцией;</w:t>
      </w:r>
    </w:p>
    <w:bookmarkEnd w:id="95"/>
    <w:bookmarkStart w:name="637601551" w:id="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 малое напряжение – напряжение не более 42 В переменного тока и 110 В – постоянного;</w:t>
      </w:r>
    </w:p>
    <w:bookmarkEnd w:id="96"/>
    <w:bookmarkStart w:name="637601552" w:id="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 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p>
    <w:bookmarkEnd w:id="97"/>
    <w:bookmarkStart w:name="637601553" w:id="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 безопасный разделительный трансформатор – разделительный трансформатор, предназначенный для питания цепей малым напряжением;</w:t>
      </w:r>
    </w:p>
    <w:bookmarkEnd w:id="98"/>
    <w:bookmarkStart w:name="637601554" w:id="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 защитный экран – проводящий экран, предназначенный для отделения электрической цепи или проводников от токоведущих частей других цепей;</w:t>
      </w:r>
    </w:p>
    <w:bookmarkEnd w:id="99"/>
    <w:bookmarkStart w:name="637601555" w:id="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 защитное электрическое разделение цепей – отделение одной электрической цепи от других цепей в электроустановках напряжением до 1 кВ с помощью:</w:t>
      </w:r>
    </w:p>
    <w:bookmarkEnd w:id="100"/>
    <w:bookmarkStart w:name="637601556" w:id="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двойной изоляции;</w:t>
      </w:r>
    </w:p>
    <w:bookmarkEnd w:id="101"/>
    <w:bookmarkStart w:name="637601557" w:id="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основной изоляции и защитного экрана;</w:t>
      </w:r>
    </w:p>
    <w:bookmarkEnd w:id="102"/>
    <w:bookmarkStart w:name="637601558" w:id="1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усиленной изоляции;</w:t>
      </w:r>
    </w:p>
    <w:bookmarkEnd w:id="103"/>
    <w:bookmarkStart w:name="637601559" w:id="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 непроводящие (изолирующие) помещения (зоны)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электропроводящие части;</w:t>
      </w:r>
    </w:p>
    <w:bookmarkEnd w:id="104"/>
    <w:bookmarkStart w:name="637601560" w:id="1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 испытательное напряжение промышленной частоты – действующее значение напряжения частотой 50 Гц, практически синусоидальной формы, которое должна выдерживать внутренняя и внешняя изоляция электрооборудования при определенных условиях испытания в течении заданного времени;</w:t>
      </w:r>
    </w:p>
    <w:bookmarkEnd w:id="105"/>
    <w:bookmarkStart w:name="637601561" w:id="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p>
    <w:bookmarkEnd w:id="106"/>
    <w:bookmarkStart w:name="637601562" w:id="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 электрооборудование с облегченной изоляцией – электрооборудование, предназначенное для применения лишь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p>
    <w:bookmarkEnd w:id="107"/>
    <w:bookmarkStart w:name="637601563" w:id="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bookmarkEnd w:id="108"/>
    <w:bookmarkStart w:name="637601564" w:id="1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bookmarkEnd w:id="109"/>
    <w:bookmarkStart w:name="637601565" w:id="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p>
    <w:bookmarkEnd w:id="110"/>
    <w:bookmarkStart w:name="637601566" w:id="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 эффективная длина пути утечки – часть длины пути утечки, определяющая электрическую прочность изолятора или изоляционной конструкции в условиях загрязнения и увлажнения;</w:t>
      </w:r>
    </w:p>
    <w:bookmarkEnd w:id="111"/>
    <w:bookmarkStart w:name="637601567" w:id="112"/>
    <w:p>
      <w:pPr>
        <w:spacing w:before="120" w:after="120" w:line="240"/>
        <w:ind w:left="0"/>
        <w:jc w:val="both"/>
      </w:pPr>
      <w:r>
        <w:rPr>
          <w:rFonts w:hint="default" w:ascii="Times New Roman" w:hAnsi="Times New Roman"/>
          <w:b w:val="false"/>
          <w:i w:val="false"/>
          <w:color w:val="000000"/>
          <w:sz w:val="24"/>
        </w:rPr>
        <w:t>82) удельная эффективная длина пути утечки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 отношение эффективной длины пути утечки к наибольшему рабочему межфазному напряжению сети, в которой работает электроустановка;</w:t>
      </w:r>
    </w:p>
    <w:bookmarkEnd w:id="112"/>
    <w:bookmarkStart w:name="637601568" w:id="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 коэффициент использования длины пути утечки (k) – поправочный коэффициент, учитывающий эффективность использования длины пути утечки изолятора или изоляционной конструкции;</w:t>
      </w:r>
    </w:p>
    <w:bookmarkEnd w:id="113"/>
    <w:bookmarkStart w:name="637601569" w:id="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 степень загрязнения (далее – СЗ) – показатель, учитывающий влияние загрязненности атмосферы на снижение электрической прочности изоляции электроустановок;</w:t>
      </w:r>
    </w:p>
    <w:bookmarkEnd w:id="114"/>
    <w:bookmarkStart w:name="637601570" w:id="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 карта степеней загрязнения (далее – КСЗ) – географическая карта, районирующая территорию по СЗ;</w:t>
      </w:r>
    </w:p>
    <w:bookmarkEnd w:id="115"/>
    <w:bookmarkStart w:name="637601571" w:id="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 распределительное устройство (далее –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а также устройства защиты, автоматики и измерительные приборы;</w:t>
      </w:r>
    </w:p>
    <w:bookmarkEnd w:id="116"/>
    <w:bookmarkStart w:name="637601572" w:id="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 открытое распределительное устройство (далее – ОРУ) – РУ, все или основное оборудование которого расположено на открытом воздухе;</w:t>
      </w:r>
    </w:p>
    <w:bookmarkEnd w:id="117"/>
    <w:bookmarkStart w:name="637601573" w:id="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 закрытое распределительное устройство (далее – ЗРУ) – РУ, оборудование которого расположено в здании.</w:t>
      </w:r>
    </w:p>
    <w:bookmarkEnd w:id="118"/>
    <w:bookmarkStart w:name="637601574" w:id="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Комбинированным выключателем называется выключатель, который в разомкнутом положении удовлетворяет требованиям, предъявляемым к разъединителям в части прочности изоляции, и в котором конструктивно предусмотрены стационарный заземлитель (заземлители), механические и электрические блокировки приводов выключателя и заземлителя (заземлителей), исключающие самопроизвольное или несанкционированное включение выключателя и отключение заземлителя (заземлителей);</w:t>
      </w:r>
    </w:p>
    <w:bookmarkEnd w:id="119"/>
    <w:bookmarkStart w:name="637601575" w:id="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 комплектное распределительное устройство – РУ,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собранном или полностью подготовленном для сборки виде.</w:t>
      </w:r>
    </w:p>
    <w:bookmarkEnd w:id="120"/>
    <w:bookmarkStart w:name="637601576" w:id="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Комплектное распределительное устройство, предназначенное для внутренней установки, Комплектное распределительное устройство, предназначенное для наружной установки, (далее – КРУН);</w:t>
      </w:r>
    </w:p>
    <w:bookmarkEnd w:id="121"/>
    <w:bookmarkStart w:name="637601577" w:id="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 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bookmarkEnd w:id="122"/>
    <w:bookmarkStart w:name="637601578" w:id="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зависимости от преобладания той или иной функции подстанций они называются трансформаторными или преобразовательными;</w:t>
      </w:r>
    </w:p>
    <w:bookmarkEnd w:id="123"/>
    <w:bookmarkStart w:name="637601579" w:id="1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 пристроенная подстанция (пристроенное РУ) – подстанция (РУ), непосредственно примыкающая (примыкающее) к основному зданию;</w:t>
      </w:r>
    </w:p>
    <w:bookmarkEnd w:id="124"/>
    <w:bookmarkStart w:name="637601580" w:id="1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 встроенная подстанция (встроенное РУ) – закрытая подстанция (закрытое РУ), вписанная (вписанное) в контур основного здания;</w:t>
      </w:r>
    </w:p>
    <w:bookmarkEnd w:id="125"/>
    <w:bookmarkStart w:name="637601581" w:id="1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 внутрицеховая подстанция – подстанция, расположенная внутри производственного здания (открыто или в отдельном закрытом помещении);</w:t>
      </w:r>
    </w:p>
    <w:bookmarkEnd w:id="126"/>
    <w:bookmarkStart w:name="637601582" w:id="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 комплектная трансформаторная (преобразовательная) подстанция – подстанция, состоящая из трансформаторов (преобразователей) и блоков (комплектная распределительная устроиство (далее - КРУ) или комплектная распределительная устроиство наружней установки (далее – КРУН)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(далее - КТП, КПП) или части их, устанавливаемые в закрытом помещении, относятся к внутренним установкам, устанавливаемые на открытом воздухе – к наружным установкам;</w:t>
      </w:r>
    </w:p>
    <w:bookmarkEnd w:id="127"/>
    <w:bookmarkStart w:name="637601583" w:id="1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 столбовая (мачтовая) трансформаторная подстанция – открытая трансформаторная подстанция, все оборудование которой установлено на конструкциях или на опорах ВЛ на высоте, не требующей ограждения подстанции;</w:t>
      </w:r>
    </w:p>
    <w:bookmarkEnd w:id="128"/>
    <w:bookmarkStart w:name="637601584" w:id="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 распределительный пункт (далее – РП) – РУ,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bookmarkEnd w:id="129"/>
    <w:bookmarkStart w:name="637601585" w:id="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 камера – помещение, предназначенное для установки аппаратов и шин;</w:t>
      </w:r>
    </w:p>
    <w:bookmarkEnd w:id="130"/>
    <w:bookmarkStart w:name="637601586" w:id="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 закрытая камера – камера, закрытая со всех сторон и имеющая сплошные (не сетчатые) двери;</w:t>
      </w:r>
    </w:p>
    <w:bookmarkEnd w:id="131"/>
    <w:bookmarkStart w:name="637601587" w:id="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 огражденная камера – камера, которая имеет проемы, защищенные полностью или частично несплошными ограждениями.</w:t>
      </w:r>
    </w:p>
    <w:bookmarkEnd w:id="132"/>
    <w:bookmarkStart w:name="637601588" w:id="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 смешанными ограждениями понимаются ограждения из сеток и сплошных листов;</w:t>
      </w:r>
    </w:p>
    <w:bookmarkEnd w:id="133"/>
    <w:bookmarkStart w:name="637601589" w:id="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 взрывная камера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p>
    <w:bookmarkEnd w:id="134"/>
    <w:bookmarkStart w:name="637601590" w:id="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 коридор обслуживания – коридор вдоль камер или шкафов КРУ, предназначенный для обслуживания аппаратов и шин;</w:t>
      </w:r>
    </w:p>
    <w:bookmarkEnd w:id="135"/>
    <w:bookmarkStart w:name="637601591" w:id="1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 взрывной коридор – коридор, в который выходят двери взрывных камер;</w:t>
      </w:r>
    </w:p>
    <w:bookmarkEnd w:id="136"/>
    <w:bookmarkStart w:name="637601592" w:id="1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 преобразовательный агрегат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p>
    <w:bookmarkEnd w:id="137"/>
    <w:bookmarkStart w:name="637601593" w:id="1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 полупроводниковый преобразователь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p>
    <w:bookmarkEnd w:id="138"/>
    <w:bookmarkStart w:name="637601594" w:id="1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 питающая осветительная сеть – сеть от распределительного устройства подстанции или ответвления от воздушных линий электропередачи до ВУ, ВРУ, ГРЩ;</w:t>
      </w:r>
    </w:p>
    <w:bookmarkEnd w:id="139"/>
    <w:bookmarkStart w:name="637601595" w:id="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 распределительная сеть – сеть от ВУ, ВРУ, ГРЩ до распределительных пунктов, щитков и пунктов питания наружного освещения;</w:t>
      </w:r>
    </w:p>
    <w:bookmarkEnd w:id="140"/>
    <w:bookmarkStart w:name="637601596" w:id="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 групповая сеть – сеть от щитков до светильников, штепсельных розеток и других электроприемников;</w:t>
      </w:r>
    </w:p>
    <w:bookmarkEnd w:id="141"/>
    <w:bookmarkStart w:name="637601597" w:id="1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bookmarkEnd w:id="142"/>
    <w:bookmarkStart w:name="637601598" w:id="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 фаза ночного режима – фаза питающей или распределительной сети наружного освещения, не отключаемая в ночные часы;</w:t>
      </w:r>
    </w:p>
    <w:bookmarkEnd w:id="143"/>
    <w:bookmarkStart w:name="637601599" w:id="1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bookmarkEnd w:id="144"/>
    <w:bookmarkStart w:name="637601600" w:id="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 провода зарядки светильника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bookmarkEnd w:id="145"/>
    <w:bookmarkStart w:name="637601601" w:id="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 кабельная линия – линия для передачи электроэнергии или отдельных ее импульсов,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p>
    <w:bookmarkEnd w:id="146"/>
    <w:bookmarkStart w:name="637601602" w:id="1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 кабельное сооружение –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bookmarkEnd w:id="147"/>
    <w:bookmarkStart w:name="637601603" w:id="1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 кабельный туннель –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bookmarkEnd w:id="148"/>
    <w:bookmarkStart w:name="637601604" w:id="1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 кабельный канал – закрытое и заглубленное (частично или полностью) в грунт, пол, перекрытие,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bookmarkEnd w:id="149"/>
    <w:bookmarkStart w:name="637601605" w:id="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 кабельная шахта – вертикальное кабельное сооружение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bookmarkEnd w:id="150"/>
    <w:bookmarkStart w:name="637601606" w:id="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 кабельный этаж – часть здания, ограниченная полом и перекрытием или покрытием, с расстоянием между полом и выступающими частями перекрытия или покрытия не менее 1,8 м.;</w:t>
      </w:r>
    </w:p>
    <w:bookmarkEnd w:id="151"/>
    <w:bookmarkStart w:name="637601607" w:id="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 кабельный блок – кабельное сооружение с трубами (каналами) для прокладки в них кабелей с относящимися к нему колодцами;</w:t>
      </w:r>
    </w:p>
    <w:bookmarkEnd w:id="152"/>
    <w:bookmarkStart w:name="637601608" w:id="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 кабельная камера – подземное кабельное сооружение, закрываемое глухой съемной бетонной плитой, предназначенное для укладки кафельных муфт или для протяжки кабелей в блоки. Камера, имеющая люк для входа в нее, называется кабельным колодцем;</w:t>
      </w:r>
    </w:p>
    <w:bookmarkEnd w:id="153"/>
    <w:bookmarkStart w:name="637601609" w:id="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 кабельная эстакада –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p>
    <w:bookmarkEnd w:id="154"/>
    <w:bookmarkStart w:name="637601610" w:id="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 кабельная галерея – надземное или наземное закрытое полностью или частично (без боковых стен) горизонтальное или наклонное протяженное проходное кабельное сооружение;</w:t>
      </w:r>
    </w:p>
    <w:bookmarkEnd w:id="155"/>
    <w:bookmarkStart w:name="637601611" w:id="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 двойной пол – полость, ограниченная стенами помещения, междуэтажным перекрытием и полом помещения со съемными плитами (на всей или части площади);</w:t>
      </w:r>
    </w:p>
    <w:bookmarkEnd w:id="156"/>
    <w:bookmarkStart w:name="637601612" w:id="1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 кабельная маслонаполненная линия низкого или высокого давления – линия, в которой длительно допустимое избыточное давление составляет:</w:t>
      </w:r>
    </w:p>
    <w:bookmarkEnd w:id="157"/>
    <w:bookmarkStart w:name="637601613" w:id="158"/>
    <w:p>
      <w:pPr>
        <w:spacing w:before="120" w:after="120" w:line="240"/>
        <w:ind w:left="0"/>
        <w:jc w:val="both"/>
      </w:pPr>
      <w:r>
        <w:rPr>
          <w:rFonts w:hint="default" w:ascii="Times New Roman" w:hAnsi="Times New Roman"/>
          <w:b w:val="false"/>
          <w:i w:val="false"/>
          <w:color w:val="000000"/>
          <w:sz w:val="24"/>
        </w:rPr>
        <w:t>0,0245–0,294 МПа (0,25–3,0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для кабелей низкого давления в свинцовой оболочке;</w:t>
      </w:r>
    </w:p>
    <w:bookmarkEnd w:id="158"/>
    <w:bookmarkStart w:name="637601614" w:id="159"/>
    <w:p>
      <w:pPr>
        <w:spacing w:before="120" w:after="120" w:line="240"/>
        <w:ind w:left="0"/>
        <w:jc w:val="both"/>
      </w:pPr>
      <w:r>
        <w:rPr>
          <w:rFonts w:hint="default" w:ascii="Times New Roman" w:hAnsi="Times New Roman"/>
          <w:b w:val="false"/>
          <w:i w:val="false"/>
          <w:color w:val="000000"/>
          <w:sz w:val="24"/>
        </w:rPr>
        <w:t>0,0245–0,49 МПа (0,25–5,0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для кабелей низкого давления в алюминиевой оболочке;</w:t>
      </w:r>
    </w:p>
    <w:bookmarkEnd w:id="159"/>
    <w:bookmarkStart w:name="637601615" w:id="160"/>
    <w:p>
      <w:pPr>
        <w:spacing w:before="120" w:after="120" w:line="240"/>
        <w:ind w:left="0"/>
        <w:jc w:val="both"/>
      </w:pPr>
      <w:r>
        <w:rPr>
          <w:rFonts w:hint="default" w:ascii="Times New Roman" w:hAnsi="Times New Roman"/>
          <w:b w:val="false"/>
          <w:i w:val="false"/>
          <w:color w:val="000000"/>
          <w:sz w:val="24"/>
        </w:rPr>
        <w:t>1,08–1,57 МПа (11–16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для кабелей высокого давления;</w:t>
      </w:r>
    </w:p>
    <w:bookmarkEnd w:id="160"/>
    <w:bookmarkStart w:name="637601616" w:id="1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 секция кабельной маслонаполненной линии низкого давления – участок линии между стопорными муфтами или стопорной и концевой муфтами;</w:t>
      </w:r>
    </w:p>
    <w:bookmarkEnd w:id="161"/>
    <w:bookmarkStart w:name="637601617" w:id="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 подпитывающий пункт – надземное, наземное или подземное сооружение с подпитывающими аппаратами и оборудованием (баки питания, баки давления, подпитывающие агрегаты);</w:t>
      </w:r>
    </w:p>
    <w:bookmarkEnd w:id="162"/>
    <w:bookmarkStart w:name="637601618" w:id="1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 разветвительное устройство – часть кабельной линии высокого давления между концом стального трубопровода и концевыми однофазными муфтами;</w:t>
      </w:r>
    </w:p>
    <w:bookmarkEnd w:id="163"/>
    <w:bookmarkStart w:name="637601619" w:id="1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 подпитывающий агрегат – автоматически действующее устройство, состоящее из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w:t>
      </w:r>
    </w:p>
    <w:bookmarkEnd w:id="164"/>
    <w:bookmarkStart w:name="637601620" w:id="1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 зоны класса В-I –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при загрузке или разгрузке технологических аппаратов, хранении или переливании ЛВЖ, находящихся в открытых емкостях;</w:t>
      </w:r>
    </w:p>
    <w:bookmarkEnd w:id="165"/>
    <w:bookmarkStart w:name="637601621" w:id="1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в результате аварий или неисправностей;</w:t>
      </w:r>
    </w:p>
    <w:bookmarkEnd w:id="166"/>
    <w:bookmarkStart w:name="637601622" w:id="1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 зоны класса В-Iб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в результате аварий или неисправностей и которые отличаются одной из следующих особенностей:</w:t>
      </w:r>
    </w:p>
    <w:bookmarkEnd w:id="167"/>
    <w:bookmarkStart w:name="637601623" w:id="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w:t>
      </w:r>
    </w:p>
    <w:bookmarkEnd w:id="168"/>
    <w:bookmarkStart w:name="637601624" w:id="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 свободного объема помещения, имеют взрывоопасную зону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(помещения электролиза воды, зарядные станции тяговых и статерных аккумуляторных батарей).</w:t>
      </w:r>
    </w:p>
    <w:bookmarkEnd w:id="169"/>
    <w:bookmarkStart w:name="637601625" w:id="1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классу В-Iб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p>
    <w:bookmarkEnd w:id="170"/>
    <w:bookmarkStart w:name="637601626" w:id="1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 зоны класса В-Iг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пункту 1388 настоящих Правил)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w:t>
      </w:r>
    </w:p>
    <w:bookmarkEnd w:id="171"/>
    <w:bookmarkStart w:name="637601627" w:id="1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зонам класса В-Iг также относятся: пространства у проемов за наружными ограждающими конструкциями помещений со взрывоопасными зонами классов В-I, В-Iа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p>
    <w:bookmarkEnd w:id="172"/>
    <w:bookmarkStart w:name="637601628" w:id="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w:t>
      </w:r>
    </w:p>
    <w:bookmarkEnd w:id="173"/>
    <w:bookmarkStart w:name="637601629" w:id="1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Зоны класса В-IIа – зоны, расположенные в помещениях, в которых опасные состояния, указанные в настоящем пункте, не имеют места при нормальной эксплуатации, а возможны только в результате аварий или неисправностей.</w:t>
      </w:r>
    </w:p>
    <w:bookmarkEnd w:id="174"/>
    <w:bookmarkStart w:name="637601630" w:id="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Применяемые в электроустановках электрооборудование и материалы должны соответствовать требованиям законодательства в области электроэнергетики.</w:t>
      </w:r>
    </w:p>
    <w:bookmarkEnd w:id="175"/>
    <w:bookmarkStart w:name="637601631" w:id="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настоящих Правил.</w:t>
      </w:r>
    </w:p>
    <w:bookmarkEnd w:id="176"/>
    <w:bookmarkStart w:name="637601632" w:id="1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установки.</w:t>
      </w:r>
    </w:p>
    <w:bookmarkEnd w:id="177"/>
    <w:bookmarkStart w:name="637601633" w:id="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эксплуатации обеспечиваются условия нормальной работы устройств и аппаратуры управления и автоматизации технологических процессов, защиты и вторичных цепей (допустимые температура, влажность, вибрация, отклонения рабочих параметров от номинальных, уровень помех).</w:t>
      </w:r>
    </w:p>
    <w:bookmarkEnd w:id="178"/>
    <w:bookmarkStart w:name="637601634" w:id="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Электроустановки и связанные с ними конструкции должны быть стойкими в отношении воздействия окружающей среды или защищены от этого воздействия.</w:t>
      </w:r>
    </w:p>
    <w:bookmarkEnd w:id="179"/>
    <w:bookmarkStart w:name="637601635" w:id="1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Строительная и санитарно-техническая части электроустановок (конструкции здания и его элементов, отопление, вентиляция и водоснабжение) должны выполняться в соответствии с действующими строительными нормами и правилами (далее – СНиП) при обязательном выполнении дополнительных требований, приведенных в настоящих Правилах.</w:t>
      </w:r>
    </w:p>
    <w:bookmarkEnd w:id="180"/>
    <w:bookmarkStart w:name="637601636" w:id="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Электроустановки должны соответствовать требованиям законодательства в области охраны окружающей среды.</w:t>
      </w:r>
    </w:p>
    <w:bookmarkEnd w:id="181"/>
    <w:bookmarkStart w:name="637601637" w:id="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В электроустановках должны быть предусмотрены сбор и удаление отходов: химических веществ, масла, мусора, технических вод. В соответствии с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p>
    <w:bookmarkEnd w:id="182"/>
    <w:bookmarkStart w:name="637601638" w:id="1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Проектирование и выбор схем, компоновок и конструкций электроустановок производятся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w:t>
      </w:r>
    </w:p>
    <w:bookmarkEnd w:id="183"/>
    <w:bookmarkStart w:name="637601639" w:id="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При опасности возникновения электрокоррозии или почвенной коррозии предусматриваются соответствующие мероприятия по защите сооружений, оборудования, трубопроводов и других подземных коммуникаций.</w:t>
      </w:r>
    </w:p>
    <w:bookmarkEnd w:id="184"/>
    <w:bookmarkStart w:name="637601640" w:id="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В электроустановках должна быть обеспечена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w:t>
      </w:r>
    </w:p>
    <w:bookmarkEnd w:id="185"/>
    <w:bookmarkStart w:name="637601641" w:id="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Буквенно-цифровое и цветовое обозначения одноименных шин в каждой электроустановке должны быть одинаковыми.</w:t>
      </w:r>
    </w:p>
    <w:bookmarkEnd w:id="186"/>
    <w:bookmarkStart w:name="637601642" w:id="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Шины обозначаются:</w:t>
      </w:r>
    </w:p>
    <w:bookmarkEnd w:id="187"/>
    <w:bookmarkStart w:name="637601643" w:id="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переменном трехфазном токе: шины фазы А – желтым цветом, фазы В – зеленым, фазы С – красным, нулевая рабочая – голубым, эта же шина, используемая в качестве нулевой защитной – продольными полосами желтого и зеленого цветов;</w:t>
      </w:r>
    </w:p>
    <w:bookmarkEnd w:id="188"/>
    <w:bookmarkStart w:name="637601644" w:id="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переменном однофазном токе: шина А, присоединенная к началу обмотки источника питания – желтым цветом, а В, присоединенная к концу обмотки – красным.</w:t>
      </w:r>
    </w:p>
    <w:bookmarkEnd w:id="189"/>
    <w:bookmarkStart w:name="637601645" w:id="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Шины однофазного тока, если они являются ответвлением от шин трехфазной системы, обозначаются как соответствующие шины трехфазного тока;</w:t>
      </w:r>
    </w:p>
    <w:bookmarkEnd w:id="190"/>
    <w:bookmarkStart w:name="637601646" w:id="1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постоянном токе: положительная шина (+) – красным цветом, отрицательная (–) – синим и нулевая рабочая М – голубым;</w:t>
      </w:r>
    </w:p>
    <w:bookmarkEnd w:id="191"/>
    <w:bookmarkStart w:name="637601647" w:id="1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резервная –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p>
    <w:bookmarkEnd w:id="192"/>
    <w:bookmarkStart w:name="637601648" w:id="1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Цветовое обозначение должно быть выполнено по всей длине шин, если оно предусмотрено также для более интенсивного охлаждения или для антикоррозийной защиты.</w:t>
      </w:r>
    </w:p>
    <w:bookmarkEnd w:id="193"/>
    <w:bookmarkStart w:name="637601649" w:id="1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bookmarkEnd w:id="194"/>
    <w:bookmarkStart w:name="637601650" w:id="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При расположении шин в распределительных устройствах (кроме КРУ заводского изготовления) необходимо соблюдать следующие условия:</w:t>
      </w:r>
    </w:p>
    <w:bookmarkEnd w:id="195"/>
    <w:bookmarkStart w:name="637601651" w:id="1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закрытых распределительных устройствах при переменном трехфазном токе шины должны располагаться:</w:t>
      </w:r>
    </w:p>
    <w:bookmarkEnd w:id="196"/>
    <w:bookmarkStart w:name="637601652" w:id="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p>
    <w:bookmarkEnd w:id="197"/>
    <w:bookmarkStart w:name="637601653" w:id="1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ответвления от сборных шин – слева направо А – В – С, если смотреть на шины из коридора обслуживания (при наличии трех коридоров – из центрального);</w:t>
      </w:r>
    </w:p>
    <w:bookmarkEnd w:id="198"/>
    <w:bookmarkStart w:name="637601654" w:id="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электроустановках напряжением до 1 кВ в пяти- и четырехпроводных цепях трехфазного переменного тока:</w:t>
      </w:r>
    </w:p>
    <w:bookmarkEnd w:id="199"/>
    <w:bookmarkStart w:name="637601655" w:id="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вертикальном расположении – А – В – С – N – RE (REN) сверху вниз;</w:t>
      </w:r>
    </w:p>
    <w:bookmarkEnd w:id="200"/>
    <w:bookmarkStart w:name="637601656" w:id="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расположении горизонтально или наклонно – наиболее удаленная шина – А, ближайшая к коридору обслуживания – RE (REN) при последовательности расположения А – В – С – N – RE (REN);</w:t>
      </w:r>
    </w:p>
    <w:bookmarkEnd w:id="201"/>
    <w:bookmarkStart w:name="637601657" w:id="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ответвления от сборных шин – слева направо, если смотреть на шины из коридора обслуживания (при наличии трех коридоров – из центрального), начиная с шины RE (REN);</w:t>
      </w:r>
    </w:p>
    <w:bookmarkEnd w:id="202"/>
    <w:bookmarkStart w:name="637601658" w:id="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открытых распределительных устройствах при переменном трехфазном токе шины должны располагаться:</w:t>
      </w:r>
    </w:p>
    <w:bookmarkEnd w:id="203"/>
    <w:bookmarkStart w:name="637601659" w:id="2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сборные и обходные шины, а также все виды секционных шин, шунтирующие перемычки и перемычки в схемах кольцевых, полуторных, должны иметь со стороны главных трансформаторов на высшем напряжении шину А;</w:t>
      </w:r>
    </w:p>
    <w:bookmarkEnd w:id="204"/>
    <w:bookmarkStart w:name="637601660" w:id="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p>
    <w:bookmarkEnd w:id="205"/>
    <w:bookmarkStart w:name="637601661" w:id="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Расположение шин ответвлений в ячейках независимо от их размещения по отношению к сборным шинам должно быть одинаковым;</w:t>
      </w:r>
    </w:p>
    <w:bookmarkEnd w:id="206"/>
    <w:bookmarkStart w:name="637601662" w:id="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постоянном токе шины должны располагаться:</w:t>
      </w:r>
    </w:p>
    <w:bookmarkEnd w:id="207"/>
    <w:bookmarkStart w:name="637601663" w:id="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сборные шины при вертикальном расположении: верхняя М, средняя (–), нижняя (+);</w:t>
      </w:r>
    </w:p>
    <w:bookmarkEnd w:id="208"/>
    <w:bookmarkStart w:name="637601664" w:id="2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сборные шины при горизонтальном расположении: наиболее удаленная М, средняя (–) и ближайшая (+), если смотреть на шины из коридора обслуживания;</w:t>
      </w:r>
    </w:p>
    <w:bookmarkEnd w:id="209"/>
    <w:bookmarkStart w:name="637601665" w:id="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ответвления от сборных шин: левая шина М, средняя (–), правая (+), если смотреть на шины из коридора обслуживания.</w:t>
      </w:r>
    </w:p>
    <w:bookmarkEnd w:id="210"/>
    <w:bookmarkStart w:name="637601666" w:id="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допускаются отступления от требований, приведенных в подпунктах 1) – 3) пункта 13 настоящих Правил, если их выполнение связано с существенным усложнением электроустановок (вызывает необходимость установки специальных опор вблизи подстанции для транспозиции проводов воздушных линий (далее – ВЛ) или, если применяются на подстанции две или более ступени трансформации.</w:t>
      </w:r>
    </w:p>
    <w:bookmarkEnd w:id="211"/>
    <w:bookmarkStart w:name="637601667" w:id="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В электропомещениях с установками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При этом, доступные части должны быть расположены так, чтобы нормальное обслуживание не было сопряжено с опасностью прикосновения к ним.</w:t>
      </w:r>
    </w:p>
    <w:bookmarkEnd w:id="212"/>
    <w:bookmarkStart w:name="637601668" w:id="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 кВ толщина металлических ограждающих и закрывающих устройств должна быть не менее 1 мм. Устройства, предназначенные для защиты проводов и кабелей от механических повреждений, должны быть введены в машины, аппараты и приборы.</w:t>
      </w:r>
    </w:p>
    <w:bookmarkEnd w:id="213"/>
    <w:bookmarkStart w:name="637601669" w:id="214"/>
    <w:p>
      <w:pPr>
        <w:spacing w:before="120" w:after="120" w:line="240"/>
        <w:ind w:left="0"/>
        <w:jc w:val="both"/>
      </w:pPr>
      <w:r>
        <w:rPr>
          <w:rFonts w:hint="default" w:ascii="Times New Roman" w:hAnsi="Times New Roman"/>
          <w:b/>
          <w:i w:val="false"/>
          <w:color w:val="000000"/>
          <w:sz w:val="24"/>
        </w:rPr>
        <w:t>2. Электроснабжение и электрические сети</w:t>
      </w:r>
    </w:p>
    <w:bookmarkEnd w:id="214"/>
    <w:bookmarkStart w:name="637601670" w:id="215"/>
    <w:p>
      <w:pPr>
        <w:spacing w:before="120" w:after="120" w:line="240"/>
        <w:ind w:left="0"/>
        <w:jc w:val="center"/>
      </w:pPr>
      <w:r>
        <w:rPr>
          <w:rFonts w:hint="default" w:ascii="Times New Roman" w:hAnsi="Times New Roman"/>
          <w:b/>
          <w:i w:val="false"/>
          <w:color w:val="000000"/>
          <w:sz w:val="24"/>
        </w:rPr>
        <w:t>Параграф 1. Общие положения</w:t>
      </w:r>
    </w:p>
    <w:bookmarkEnd w:id="215"/>
    <w:bookmarkStart w:name="637601671" w:id="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 При проектировании систем электроснабжения и реконструкции электроустановок рассматриваются следующие вопросы:</w:t>
      </w:r>
    </w:p>
    <w:bookmarkEnd w:id="216"/>
    <w:bookmarkStart w:name="637601672" w:id="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bookmarkEnd w:id="217"/>
    <w:bookmarkStart w:name="637601673" w:id="2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p>
    <w:bookmarkEnd w:id="218"/>
    <w:bookmarkStart w:name="637601674" w:id="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ограничение токов коротокого замыкания (далее – КЗ) предельными уровнями, определяемыми на перспективу;</w:t>
      </w:r>
    </w:p>
    <w:bookmarkEnd w:id="219"/>
    <w:bookmarkStart w:name="637601675" w:id="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снижение потерь электрической энергии.</w:t>
      </w:r>
    </w:p>
    <w:bookmarkEnd w:id="220"/>
    <w:bookmarkStart w:name="637601676" w:id="2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в комплексе рассматриваются внешнее и внутреннее электроснабжение с учетом возможностей и экономической целесообразности технологического резервирования.</w:t>
      </w:r>
    </w:p>
    <w:bookmarkEnd w:id="221"/>
    <w:bookmarkStart w:name="637601677" w:id="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решении вопросов резервирования учитывается перегрузочная способность элементов электроустановок, а также наличие резерва в технологическом оборудовании.</w:t>
      </w:r>
    </w:p>
    <w:bookmarkEnd w:id="222"/>
    <w:bookmarkStart w:name="637601678" w:id="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 При решении вопросов развития систем электроснабжения учитываются ремонтные, аварийные и послеаварийные режимы.</w:t>
      </w:r>
    </w:p>
    <w:bookmarkEnd w:id="223"/>
    <w:bookmarkStart w:name="637601679" w:id="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 При выборе независимых взаимно резервирующих источников питания, являющихся объектами энергосистемы, учитывается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bookmarkEnd w:id="224"/>
    <w:bookmarkStart w:name="637601680" w:id="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 Проектирование электрических сетей осуществляется с учетом вида их обслуживания (постоянное дежурство, дежурство на дому, выездные бригады).</w:t>
      </w:r>
    </w:p>
    <w:bookmarkEnd w:id="225"/>
    <w:bookmarkStart w:name="637601681" w:id="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 Работа электрических сетей напряжением 3–35 кВ предусматривается как с изолированной нейтралью, так и с нейтралью, заземленной через дугогасящий реактор или резистор.</w:t>
      </w:r>
    </w:p>
    <w:bookmarkEnd w:id="226"/>
    <w:bookmarkStart w:name="637601682" w:id="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Работа электрических сетей 110 кВ должна предусматриваться как с глухо заземленной, так и с эффективно заземленной нейтралью.</w:t>
      </w:r>
    </w:p>
    <w:bookmarkEnd w:id="227"/>
    <w:bookmarkStart w:name="637601683" w:id="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Работа электрических сетей 220 кВ должна предусматриваться только с глухо заземленной нейтралью.</w:t>
      </w:r>
    </w:p>
    <w:bookmarkEnd w:id="228"/>
    <w:bookmarkStart w:name="637601684" w:id="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Компенсация емкостного тока замыкания на землю должна применяться при значениях этого тока в нормальных режимах:</w:t>
      </w:r>
    </w:p>
    <w:bookmarkEnd w:id="229"/>
    <w:bookmarkStart w:name="637601685" w:id="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сетях 3–20 кВ, имеющих железобетонные и металлические опоры на ВЛ, и во всех сетях 35 кВ – более 10 А;</w:t>
      </w:r>
    </w:p>
    <w:bookmarkEnd w:id="230"/>
    <w:bookmarkStart w:name="637601686" w:id="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сетях, не имеющих железобетонных и металлических опор на ВЛ: при напряжении 3–6 кВ – более 30 А; при 10 кВ – более 20 А; при 15–20 кВ – более 15 А;</w:t>
      </w:r>
    </w:p>
    <w:bookmarkEnd w:id="231"/>
    <w:bookmarkStart w:name="637601687" w:id="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 схемах 6–20 кВ блоков генератор–трансформатор (на генераторном напряжении) – более 5 А.</w:t>
      </w:r>
    </w:p>
    <w:bookmarkEnd w:id="232"/>
    <w:bookmarkStart w:name="637601688" w:id="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токах замыкания на землю более 50 А применяется не менее двух заземляющих дугогасящих реакторов.</w:t>
      </w:r>
    </w:p>
    <w:bookmarkEnd w:id="233"/>
    <w:bookmarkStart w:name="637601689" w:id="234"/>
    <w:p>
      <w:pPr>
        <w:spacing w:before="120" w:after="120" w:line="240"/>
        <w:ind w:left="0"/>
        <w:jc w:val="center"/>
      </w:pPr>
      <w:r>
        <w:rPr>
          <w:rFonts w:hint="default" w:ascii="Times New Roman" w:hAnsi="Times New Roman"/>
          <w:b/>
          <w:i w:val="false"/>
          <w:color w:val="000000"/>
          <w:sz w:val="24"/>
        </w:rPr>
        <w:t>Параграф 2. Категории электроприемников и обеспечение надежности электроснабжения</w:t>
      </w:r>
    </w:p>
    <w:bookmarkEnd w:id="234"/>
    <w:bookmarkStart w:name="637601690" w:id="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 В отношении обеспечения надежности электроснабжения электроприемники разделяются на следующие три категории:</w:t>
      </w:r>
    </w:p>
    <w:bookmarkEnd w:id="235"/>
    <w:bookmarkStart w:name="637601691" w:id="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Электроприемники I категории – электроприемники, перерыв электроснабжения которых может повлечь за собой: опасность для жизни людей, значительный ущерб экономики предприятий,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p>
    <w:bookmarkEnd w:id="236"/>
    <w:bookmarkStart w:name="637601692" w:id="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 состава электроприемников I категории выделяется особая группа электроприемников,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w:t>
      </w:r>
    </w:p>
    <w:bookmarkEnd w:id="237"/>
    <w:bookmarkStart w:name="637601693" w:id="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bookmarkEnd w:id="238"/>
    <w:bookmarkStart w:name="637601694" w:id="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Электроприемники III категории – все остальные электроприемники, не подходящие под определения I и II категорий.</w:t>
      </w:r>
    </w:p>
    <w:bookmarkEnd w:id="239"/>
    <w:bookmarkStart w:name="637601695" w:id="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 Электроприемники I категории обеспечиваются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допускается лишь на время автоматического восстановления питания.</w:t>
      </w:r>
    </w:p>
    <w:bookmarkEnd w:id="240"/>
    <w:bookmarkStart w:name="637601696" w:id="2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электроснабжения особой группы электроприемников I категории предусматривается дополнительное питание от третьего независимого взаимно резервирующего источника питания.</w:t>
      </w:r>
    </w:p>
    <w:bookmarkEnd w:id="241"/>
    <w:bookmarkStart w:name="637601697" w:id="2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используются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w:t>
      </w:r>
    </w:p>
    <w:bookmarkEnd w:id="242"/>
    <w:bookmarkStart w:name="637601698" w:id="2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резервированием электроснабжения недопускается обеспечить необходимой непрерывности технологического процесса или, если резервирование электроснабжения экономически нецелесообразно, осуществляется технологическое резервирование.</w:t>
      </w:r>
    </w:p>
    <w:bookmarkEnd w:id="243"/>
    <w:bookmarkStart w:name="637601699" w:id="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Электроснабжение электроприемников I категории с особо сложным непрерывным технологическим процессом, требующим длительного времени на восстановление рабочего режима, при наличии технико-экономических обоснований осуществляется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bookmarkEnd w:id="244"/>
    <w:bookmarkStart w:name="637601700" w:id="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 Электроприемники II категории обеспечиваются электроэнергией от двух независимых взаимно резервирующих источников питания.</w:t>
      </w:r>
    </w:p>
    <w:bookmarkEnd w:id="245"/>
    <w:bookmarkStart w:name="637601701" w:id="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bookmarkEnd w:id="246"/>
    <w:bookmarkStart w:name="637601702" w:id="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 Для электроприемников III категории электроснабжение выполняется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календарного дня.</w:t>
      </w:r>
    </w:p>
    <w:bookmarkEnd w:id="247"/>
    <w:bookmarkStart w:name="637601703" w:id="248"/>
    <w:p>
      <w:pPr>
        <w:spacing w:before="120" w:after="120" w:line="240"/>
        <w:ind w:left="0"/>
        <w:jc w:val="center"/>
      </w:pPr>
      <w:r>
        <w:rPr>
          <w:rFonts w:hint="default" w:ascii="Times New Roman" w:hAnsi="Times New Roman"/>
          <w:b/>
          <w:i w:val="false"/>
          <w:color w:val="000000"/>
          <w:sz w:val="24"/>
        </w:rPr>
        <w:t>Параграф 3. Уровни и регулирование напряжения, компенсация реактивной мощности</w:t>
      </w:r>
    </w:p>
    <w:bookmarkEnd w:id="248"/>
    <w:bookmarkStart w:name="637601704" w:id="2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 Устройства регулирования напряжения должны обеспечивать поддержание напряжения на тех шинах напряжением 6–20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w:t>
      </w:r>
    </w:p>
    <w:bookmarkEnd w:id="249"/>
    <w:bookmarkStart w:name="637601705" w:id="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p>
    <w:bookmarkEnd w:id="250"/>
    <w:bookmarkStart w:name="637601706" w:id="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 Выбор и размещение устройств компенсации реактивной мощности в электрических сетях производится в соответствии с инструкцией по компенсации реактивной мощности.</w:t>
      </w:r>
    </w:p>
    <w:bookmarkEnd w:id="251"/>
    <w:bookmarkStart w:name="637601707" w:id="252"/>
    <w:p>
      <w:pPr>
        <w:spacing w:before="120" w:after="120" w:line="240"/>
        <w:ind w:left="0"/>
        <w:jc w:val="both"/>
      </w:pPr>
      <w:r>
        <w:rPr>
          <w:rFonts w:hint="default" w:ascii="Times New Roman" w:hAnsi="Times New Roman"/>
          <w:b/>
          <w:i w:val="false"/>
          <w:color w:val="000000"/>
          <w:sz w:val="24"/>
        </w:rPr>
        <w:t>3. Выбор проводников по нагреву, экономической плотности</w:t>
      </w:r>
      <w:r>
        <w:br/>
      </w:r>
      <w:r>
        <w:rPr>
          <w:rFonts w:hint="default" w:ascii="Times New Roman" w:hAnsi="Times New Roman"/>
          <w:b/>
          <w:i w:val="false"/>
          <w:color w:val="000000"/>
          <w:sz w:val="24"/>
        </w:rPr>
        <w:t>
 тока и по условиям короны</w:t>
      </w:r>
    </w:p>
    <w:bookmarkEnd w:id="252"/>
    <w:bookmarkStart w:name="637601708" w:id="253"/>
    <w:p>
      <w:pPr>
        <w:spacing w:before="120" w:after="120" w:line="240"/>
        <w:ind w:left="0"/>
        <w:jc w:val="center"/>
      </w:pPr>
      <w:r>
        <w:rPr>
          <w:rFonts w:hint="default" w:ascii="Times New Roman" w:hAnsi="Times New Roman"/>
          <w:b/>
          <w:i w:val="false"/>
          <w:color w:val="000000"/>
          <w:sz w:val="24"/>
        </w:rPr>
        <w:t>Параграф 1. Область применения</w:t>
      </w:r>
    </w:p>
    <w:bookmarkEnd w:id="253"/>
    <w:bookmarkStart w:name="637601709" w:id="2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 Настоящая глава Правил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bookmarkEnd w:id="254"/>
    <w:bookmarkStart w:name="637601710" w:id="255"/>
    <w:p>
      <w:pPr>
        <w:spacing w:before="120" w:after="120" w:line="240"/>
        <w:ind w:left="0"/>
        <w:jc w:val="center"/>
      </w:pPr>
      <w:r>
        <w:rPr>
          <w:rFonts w:hint="default" w:ascii="Times New Roman" w:hAnsi="Times New Roman"/>
          <w:b/>
          <w:i w:val="false"/>
          <w:color w:val="000000"/>
          <w:sz w:val="24"/>
        </w:rPr>
        <w:t>Параграф 2. Выбор сечений проводников по нагреву</w:t>
      </w:r>
    </w:p>
    <w:bookmarkEnd w:id="255"/>
    <w:bookmarkStart w:name="637601711" w:id="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 Проводники любого назначения должны удовлетворять требования в отношении предельно допустимого нагрева с учетом нормальных, но и послеаварийных режимов, а также режимов в период ремонта и возможных неравномерностей распределения токов между линиями, секциями шин. При проверке на нагрев принимается получасовой максимум тока, наибольший из средних получасовых токов данного элемента сети.</w:t>
      </w:r>
    </w:p>
    <w:bookmarkEnd w:id="256"/>
    <w:bookmarkStart w:name="637601712" w:id="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повторно-кратковременном и кратковременном режимах работы электроприемников (с общей длительностью цикла до 10 минут и длительностью рабочего периода не более 4 минут) в качестве расчетного тока для проверки сечения проводников по нагреву принимается ток, приведенный к длительному режиму. При этом:</w:t>
      </w:r>
    </w:p>
    <w:bookmarkEnd w:id="257"/>
    <w:bookmarkStart w:name="637601713" w:id="258"/>
    <w:p>
      <w:pPr>
        <w:spacing w:before="120" w:after="120" w:line="240"/>
        <w:ind w:left="0"/>
        <w:jc w:val="both"/>
      </w:pPr>
      <w:r>
        <w:rPr>
          <w:rFonts w:hint="default" w:ascii="Times New Roman" w:hAnsi="Times New Roman"/>
          <w:b w:val="false"/>
          <w:i w:val="false"/>
          <w:color w:val="000000"/>
          <w:sz w:val="24"/>
        </w:rPr>
        <w:t>1) для медных проводников сечением до 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а для алюминиевых проводников до 10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ток принимается, как для установок с длительным режимом работы;</w:t>
      </w:r>
    </w:p>
    <w:bookmarkEnd w:id="258"/>
    <w:bookmarkStart w:name="637601714" w:id="259"/>
    <w:p>
      <w:pPr>
        <w:spacing w:before="120" w:after="120" w:line="240"/>
        <w:ind w:left="0"/>
        <w:jc w:val="both"/>
      </w:pPr>
      <w:r>
        <w:rPr>
          <w:rFonts w:hint="default" w:ascii="Times New Roman" w:hAnsi="Times New Roman"/>
          <w:b w:val="false"/>
          <w:i w:val="false"/>
          <w:color w:val="000000"/>
          <w:sz w:val="24"/>
        </w:rPr>
        <w:t>2) для медных проводников сечением более 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а для алюминиевых проводников более 10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ток определяется умножением допустимого длительного тока на коэффициент </w:t>
      </w:r>
      <w:r>
        <w:drawing>
          <wp:inline distT="0" distB="0" distL="0" distR="0">
            <wp:extent cx="1257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257300" cy="355600"/>
                    </a:xfrm>
                    <a:prstGeom prst="rect">
                      <a:avLst/>
                    </a:prstGeom>
                  </pic:spPr>
                </pic:pic>
              </a:graphicData>
            </a:graphic>
          </wp:inline>
        </w:drawing>
      </w:r>
      <w:r>
        <w:rPr>
          <w:rFonts w:hint="default" w:ascii="Times New Roman" w:hAnsi="Times New Roman"/>
          <w:b w:val="false"/>
          <w:i w:val="false"/>
          <w:color w:val="000000"/>
          <w:sz w:val="24"/>
        </w:rPr>
        <w:t xml:space="preserve"> , где Т</w:t>
      </w:r>
      <w:r>
        <w:rPr>
          <w:rFonts w:hint="default" w:ascii="Times New Roman" w:hAnsi="Times New Roman"/>
          <w:b w:val="false"/>
          <w:i w:val="false"/>
          <w:color w:val="000000"/>
          <w:vertAlign w:val="subscript"/>
        </w:rPr>
        <w:t>П.В.</w:t>
      </w:r>
      <w:r>
        <w:rPr>
          <w:rFonts w:hint="default" w:ascii="Times New Roman" w:hAnsi="Times New Roman"/>
          <w:b w:val="false"/>
          <w:i w:val="false"/>
          <w:color w:val="000000"/>
          <w:sz w:val="24"/>
        </w:rPr>
        <w:t xml:space="preserve"> – длительность рабочего периода выраженная в относительных единицах (продолжительность включения по отношению к продолжительности цикла).</w:t>
      </w:r>
    </w:p>
    <w:bookmarkEnd w:id="259"/>
    <w:bookmarkStart w:name="637601715" w:id="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 Для кратковременного режима работы с длительностью включения не более 4 минут и перерывами между включениями, достаточными для охлаждения проводников до температуры окружающей среды, наибольшие допустимые токи определяются по нормам повторно-кратковременного режима. При длительности включения более 4 минут, а также при перерывах недостаточной длительности между включениями, наибольшие допустимые токи определяются, как для установок с длительным режимом работы.</w:t>
      </w:r>
    </w:p>
    <w:bookmarkEnd w:id="260"/>
    <w:bookmarkStart w:name="637601716" w:id="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 Для кабелей напряжением до 10 кВ с бумажной пропитанной изоляцией, несущих нагрузки меньше номинальных, допускается кратковременная перегрузка, указанная в таблице 1 приложения к настоящим Правилам.</w:t>
      </w:r>
    </w:p>
    <w:bookmarkEnd w:id="261"/>
    <w:bookmarkStart w:name="637601717" w:id="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 На период ликвидации послеаварийного режима для кабелей с полиэтиленовой изоляцией допускается перегрузка до 10 %, а для кабелей с поливинилхлоридной изоляцией – до 15 % номинальной на время максимумов нагрузки продолжительностью не более 6 часов в сутки в течение 5 суток, если нагрузка в остальные периоды времени этих суток не превышает номинальной.</w:t>
      </w:r>
    </w:p>
    <w:bookmarkEnd w:id="262"/>
    <w:bookmarkStart w:name="637601718" w:id="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период ликвидации послеаварийного режима для кабелей напряжением до 10 кВ с бумажной изоляцией допускаются перегрузки в течение 5 суток в пределах, указанных в таблице 2 приложения к настоящим Правилам.</w:t>
      </w:r>
    </w:p>
    <w:bookmarkEnd w:id="263"/>
    <w:bookmarkStart w:name="637601719" w:id="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линий, находящихся в эксплуатации более 15 лет, перегрузки должны быть понижены на 10 %.</w:t>
      </w:r>
    </w:p>
    <w:bookmarkEnd w:id="264"/>
    <w:bookmarkStart w:name="637601720" w:id="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Перегрузка кабельных линий напряжением 20–35 кВ не допускается.</w:t>
      </w:r>
    </w:p>
    <w:bookmarkEnd w:id="265"/>
    <w:bookmarkStart w:name="637601721" w:id="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p>
    <w:bookmarkEnd w:id="266"/>
    <w:bookmarkStart w:name="637601722" w:id="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 Нулевые рабочие проводники в четырехпроводной системе трехфазного тока должны иметь проводимость не менее 50 % проводимости фазных проводников; в необходимых случаях она увеличивается до 100 % проводимости фазных проводников.</w:t>
      </w:r>
    </w:p>
    <w:bookmarkEnd w:id="267"/>
    <w:bookmarkStart w:name="637601723" w:id="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таблицах 12–15 и 22 приложения к настоящим Правилам, применяются коэффициенты, приведенные в таблице 3 приложения к настоящим Правилам.</w:t>
      </w:r>
    </w:p>
    <w:bookmarkEnd w:id="268"/>
    <w:bookmarkStart w:name="637601724" w:id="269"/>
    <w:p>
      <w:pPr>
        <w:spacing w:before="120" w:after="120" w:line="240"/>
        <w:ind w:left="0"/>
        <w:jc w:val="center"/>
      </w:pPr>
      <w:r>
        <w:rPr>
          <w:rFonts w:hint="default" w:ascii="Times New Roman" w:hAnsi="Times New Roman"/>
          <w:b/>
          <w:i w:val="false"/>
          <w:color w:val="000000"/>
          <w:sz w:val="24"/>
        </w:rPr>
        <w:t>Параграф 3. Допустимые длительные токи для проводов,шнуров и кабелей с резиновой или пластмассовой изоляцией</w:t>
      </w:r>
    </w:p>
    <w:bookmarkEnd w:id="269"/>
    <w:bookmarkStart w:name="637601725" w:id="270"/>
    <w:p>
      <w:pPr>
        <w:spacing w:before="120" w:after="120" w:line="240"/>
        <w:ind w:left="0"/>
        <w:jc w:val="both"/>
      </w:pPr>
      <w:r>
        <w:rPr>
          <w:rFonts w:hint="default" w:ascii="Times New Roman" w:hAnsi="Times New Roman"/>
          <w:b w:val="false"/>
          <w:i w:val="false"/>
          <w:color w:val="000000"/>
          <w:sz w:val="24"/>
        </w:rPr>
        <w:t>37.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таблицах 4 и 11приложения к настоящим Правилам. Приняты для температур: жил +65, окружающего воздуха +25 и земли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270"/>
    <w:bookmarkStart w:name="637601726" w:id="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p>
    <w:bookmarkEnd w:id="271"/>
    <w:bookmarkStart w:name="637601727" w:id="2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Данные, содержащиеся в таблицах 4 и 5 приложения к настоящим Правилам, применяются независимо от количества труб и места их прокладки (в воздухе, перекрытиях, фундаментах).</w:t>
      </w:r>
    </w:p>
    <w:bookmarkEnd w:id="272"/>
    <w:bookmarkStart w:name="637601728" w:id="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Допустимые длительные токи для проводов и кабелей, проложенных в коробах, а также в лотках пучками, должны приниматься: для проводов – по таблицам 4 и 5 приложения к настоящим Правилам, как для проводов, проложенных в трубах, для кабелей – по таблицам 6 и 8приложения,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таблицам 4 и 5, как для проводов, проложенных открыто (в воздухе), с введением снижающих коэффициентов 0,68 для 5 и 6 0,63 для 7–9 и 0,6 для 10–12 проводов.</w:t>
      </w:r>
    </w:p>
    <w:bookmarkEnd w:id="273"/>
    <w:bookmarkStart w:name="637601729" w:id="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проводов вторичных цепей снижающие коэффициенты не вводятся.</w:t>
      </w:r>
    </w:p>
    <w:bookmarkEnd w:id="274"/>
    <w:bookmarkStart w:name="637601730" w:id="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 Допустимые длительные токи для проводов, проложенных в лотках, при однорядной прокладке (не в пучках) принимаются, как для проводов, проложенных в воздухе.</w:t>
      </w:r>
    </w:p>
    <w:bookmarkEnd w:id="275"/>
    <w:bookmarkStart w:name="637601731" w:id="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Допустимые длительные токи для проводов и кабелей, прокладываемых в коробах, принимаются по таблицам 4 и 7 приложения к настоящим Правилам, как для одиночных проводов и кабелей, проложенных открыто (в воздухе), с применением снижающих коэффициентов, указанных в таблице 12 приложения к настоящим Правилам.</w:t>
      </w:r>
    </w:p>
    <w:bookmarkEnd w:id="276"/>
    <w:bookmarkStart w:name="637601732" w:id="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оболочках приняты в соответствии с допустимыми температурами жил кабелей:</w:t>
      </w:r>
    </w:p>
    <w:bookmarkEnd w:id="277"/>
    <w:bookmarkStart w:name="637601733" w:id="278"/>
    <w:tbl>
      <w:tblPr>
        <w:tblW w:w="18660" w:type="auto"/>
        <w:tblCellSpacing w:w="0" w:type="auto"/>
        <w:tblBorders>
          <w:top w:val="none"/>
          <w:left w:val="none"/>
          <w:bottom w:val="none"/>
          <w:right w:val="none"/>
          <w:insideH w:val="none"/>
          <w:insideV w:val="none"/>
        </w:tblBorders>
        <w:tblLayout/>
      </w:tblPr>
      <w:tblGrid>
        <w:gridCol w:w="6053"/>
        <w:gridCol w:w="2491"/>
        <w:gridCol w:w="2491"/>
        <w:gridCol w:w="2491"/>
        <w:gridCol w:w="2474"/>
      </w:tblGrid>
      <w:tr>
        <w:trPr>
          <w:trHeight w:val="30" w:hRule="atLeast"/>
        </w:trPr>
        <w:tc>
          <w:tcPr>
            <w:tcW w:w="60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кВ</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 и 35</w:t>
            </w:r>
          </w:p>
        </w:tc>
      </w:tr>
      <w:tr>
        <w:trPr>
          <w:trHeight w:val="30" w:hRule="atLeast"/>
        </w:trPr>
        <w:tc>
          <w:tcPr>
            <w:tcW w:w="60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Допустимая температура жилы кабеля,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r>
    </w:tbl>
    <w:bookmarkEnd w:id="278"/>
    <w:bookmarkStart w:name="637601734" w:id="279"/>
    <w:p>
      <w:pPr>
        <w:spacing w:before="120" w:after="120" w:line="240"/>
        <w:ind w:left="0"/>
        <w:jc w:val="both"/>
      </w:pPr>
      <w:r>
        <w:rPr>
          <w:rFonts w:hint="default" w:ascii="Times New Roman" w:hAnsi="Times New Roman"/>
          <w:b w:val="false"/>
          <w:i w:val="false"/>
          <w:color w:val="000000"/>
          <w:sz w:val="24"/>
        </w:rPr>
        <w:t>40. Для кабелей, проложенных в земле, допустимые длительные токи приведены в таблицах 13, 16, 19–22 приложения к настоящим Правилам. Они приняты из расчета прокладки в траншее на глубине 0,7–1,0 м не более одного кабеля при температуре земли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удельном сопротивлении земли 120 см*К/Вт.</w:t>
      </w:r>
    </w:p>
    <w:bookmarkEnd w:id="279"/>
    <w:bookmarkStart w:name="637601735" w:id="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удельном сопротивлении земли, отличающемся от 120 см*К/Вт, необходимо к токовым нагрузкам, указанным в таблицах, применять поправочные коэффициенты, указанные в таблице 23 приложения к настоящим Правилам.</w:t>
      </w:r>
    </w:p>
    <w:bookmarkEnd w:id="280"/>
    <w:bookmarkStart w:name="637601736" w:id="281"/>
    <w:p>
      <w:pPr>
        <w:spacing w:before="120" w:after="120" w:line="240"/>
        <w:ind w:left="0"/>
        <w:jc w:val="both"/>
      </w:pPr>
      <w:r>
        <w:rPr>
          <w:rFonts w:hint="default" w:ascii="Times New Roman" w:hAnsi="Times New Roman"/>
          <w:b w:val="false"/>
          <w:i w:val="false"/>
          <w:color w:val="000000"/>
          <w:sz w:val="24"/>
        </w:rPr>
        <w:t>41. Для кабелей, проложенных в воде, допустимые длительные токи приведены в таблицах 13, 16, 22 и 21 приложения к настоящим Правилам. Они приняты из расчета температуры воды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281"/>
    <w:bookmarkStart w:name="637601737" w:id="282"/>
    <w:p>
      <w:pPr>
        <w:spacing w:before="120" w:after="120" w:line="240"/>
        <w:ind w:left="0"/>
        <w:jc w:val="both"/>
      </w:pPr>
      <w:r>
        <w:rPr>
          <w:rFonts w:hint="default" w:ascii="Times New Roman" w:hAnsi="Times New Roman"/>
          <w:b w:val="false"/>
          <w:i w:val="false"/>
          <w:color w:val="000000"/>
          <w:sz w:val="24"/>
        </w:rPr>
        <w:t>42. Для кабелей, проложенных в воздухе, внутри и вне зданий, при любом количестве кабелей и температуре воздуха +25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допустимые длительные токи приведены в таблицах 14, 19, 20, 21, 23 и 24 приложения к настоящим Правилам.</w:t>
      </w:r>
    </w:p>
    <w:bookmarkEnd w:id="282"/>
    <w:bookmarkStart w:name="637601738" w:id="2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p>
    <w:bookmarkEnd w:id="283"/>
    <w:bookmarkStart w:name="637601739" w:id="2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10 м. В указанных случаях применяются кабельные вставки большего сечения.</w:t>
      </w:r>
    </w:p>
    <w:bookmarkEnd w:id="284"/>
    <w:bookmarkStart w:name="637601740" w:id="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таблице 26 приложения к настоящим Правилам. При этом, не должны учитываться резервные кабели.</w:t>
      </w:r>
    </w:p>
    <w:bookmarkEnd w:id="285"/>
    <w:bookmarkStart w:name="637601741" w:id="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нескольких кабелей в земле с расстояниями между ними менее 10 мм в свету не допускается.</w:t>
      </w:r>
    </w:p>
    <w:bookmarkEnd w:id="286"/>
    <w:bookmarkStart w:name="637601742" w:id="2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p>
    <w:bookmarkEnd w:id="287"/>
    <w:bookmarkStart w:name="637601743" w:id="2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 Допустимые длительные токи для кабелей, прокладываемых в блоках, определяются по эмпирической формуле</w:t>
      </w:r>
    </w:p>
    <w:bookmarkEnd w:id="288"/>
    <w:bookmarkStart w:name="637601744" w:id="289"/>
    <w:p>
      <w:pPr>
        <w:spacing w:before="120" w:after="120" w:line="240"/>
        <w:ind w:left="0"/>
        <w:jc w:val="center"/>
      </w:pPr>
      <w:r>
        <w:rPr>
          <w:rFonts w:hint="default" w:ascii="Times New Roman" w:hAnsi="Times New Roman"/>
          <w:b w:val="false"/>
          <w:i w:val="false"/>
          <w:color w:val="000000"/>
          <w:sz w:val="24"/>
        </w:rPr>
        <w:t>I = a b c I</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w:t>
      </w:r>
    </w:p>
    <w:bookmarkEnd w:id="289"/>
    <w:bookmarkStart w:name="637601745" w:id="290"/>
    <w:p>
      <w:pPr>
        <w:spacing w:before="120" w:after="120" w:line="240"/>
        <w:ind w:left="0"/>
        <w:jc w:val="both"/>
      </w:pPr>
      <w:r>
        <w:rPr>
          <w:rFonts w:hint="default" w:ascii="Times New Roman" w:hAnsi="Times New Roman"/>
          <w:b w:val="false"/>
          <w:i w:val="false"/>
          <w:color w:val="000000"/>
          <w:sz w:val="24"/>
        </w:rPr>
        <w:t>где I</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 допустимый длительный ток для трехжильного кабеля напряжением 10 кВ с медными или алюминиевыми жилами, определяемый по таблице 27 приложения к настоящим Правилам; а – коэффициент, выбираемый по таблице 28 приложения к настоящим Правилам в зависимости от сечения и расположения кабеля в блоке b – коэффициент, выбираемый в зависимости от напряжения кабеля:</w:t>
      </w:r>
    </w:p>
    <w:bookmarkEnd w:id="290"/>
    <w:bookmarkStart w:name="637601746" w:id="291"/>
    <w:tbl>
      <w:tblPr>
        <w:tblW w:w="18660" w:type="auto"/>
        <w:tblCellSpacing w:w="0" w:type="auto"/>
        <w:tblBorders>
          <w:top w:val="none"/>
          <w:left w:val="none"/>
          <w:bottom w:val="none"/>
          <w:right w:val="none"/>
          <w:insideH w:val="none"/>
          <w:insideV w:val="none"/>
        </w:tblBorders>
        <w:tblLayout/>
      </w:tblPr>
      <w:tblGrid>
        <w:gridCol w:w="8246"/>
        <w:gridCol w:w="2599"/>
        <w:gridCol w:w="2599"/>
        <w:gridCol w:w="2556"/>
      </w:tblGrid>
      <w:tr>
        <w:trPr>
          <w:trHeight w:val="30" w:hRule="atLeast"/>
        </w:trPr>
        <w:tc>
          <w:tcPr>
            <w:tcW w:w="82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кабеля,кВ</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5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82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b</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1,09</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5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bl>
    <w:bookmarkEnd w:id="291"/>
    <w:bookmarkStart w:name="637601747" w:id="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 – коэффициент, выбираемый в зависимости от среднесуточной загрузки всего блока:</w:t>
      </w:r>
    </w:p>
    <w:bookmarkEnd w:id="292"/>
    <w:bookmarkStart w:name="637601748" w:id="293"/>
    <w:tbl>
      <w:tblPr>
        <w:tblW w:w="18660" w:type="auto"/>
        <w:tblCellSpacing w:w="0" w:type="auto"/>
        <w:tblBorders>
          <w:top w:val="none"/>
          <w:left w:val="none"/>
          <w:bottom w:val="none"/>
          <w:right w:val="none"/>
          <w:insideH w:val="none"/>
          <w:insideV w:val="none"/>
        </w:tblBorders>
        <w:tblLayout/>
      </w:tblPr>
      <w:tblGrid>
        <w:gridCol w:w="8276"/>
        <w:gridCol w:w="2537"/>
        <w:gridCol w:w="2602"/>
        <w:gridCol w:w="2585"/>
      </w:tblGrid>
      <w:tr>
        <w:trPr>
          <w:trHeight w:val="30" w:hRule="atLeast"/>
        </w:trPr>
        <w:tc>
          <w:tcPr>
            <w:tcW w:w="8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Среднесуточная загрузка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S</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ср.сут</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/S</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6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0,85</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r>
      <w:tr>
        <w:trPr>
          <w:trHeight w:val="30" w:hRule="atLeast"/>
        </w:trPr>
        <w:tc>
          <w:tcPr>
            <w:tcW w:w="8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с</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6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w:t>
            </w:r>
          </w:p>
        </w:tc>
      </w:tr>
    </w:tbl>
    <w:bookmarkEnd w:id="293"/>
    <w:bookmarkStart w:name="637601749" w:id="294"/>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Резервные кабели допускается прокладывать в незанумерованных каналах блока, если они работают, когда рабочие кабели отключены.</w:t>
      </w:r>
    </w:p>
    <w:bookmarkEnd w:id="294"/>
    <w:bookmarkStart w:name="637601750" w:id="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p>
    <w:bookmarkEnd w:id="295"/>
    <w:bookmarkStart w:name="637601751" w:id="296"/>
    <w:tbl>
      <w:tblPr>
        <w:tblW w:w="18660" w:type="auto"/>
        <w:tblCellSpacing w:w="0" w:type="auto"/>
        <w:tblBorders>
          <w:top w:val="none"/>
          <w:left w:val="none"/>
          <w:bottom w:val="none"/>
          <w:right w:val="none"/>
          <w:insideH w:val="none"/>
          <w:insideV w:val="none"/>
        </w:tblBorders>
        <w:tblLayout/>
      </w:tblPr>
      <w:tblGrid>
        <w:gridCol w:w="6652"/>
        <w:gridCol w:w="1545"/>
        <w:gridCol w:w="1560"/>
        <w:gridCol w:w="1560"/>
        <w:gridCol w:w="1561"/>
        <w:gridCol w:w="1561"/>
        <w:gridCol w:w="1561"/>
      </w:tblGrid>
      <w:tr>
        <w:trPr>
          <w:trHeight w:val="30" w:hRule="atLeast"/>
        </w:trPr>
        <w:tc>
          <w:tcPr>
            <w:tcW w:w="66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между блоками, мм</w:t>
            </w:r>
          </w:p>
        </w:tc>
        <w:tc>
          <w:tcPr>
            <w:tcW w:w="15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1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1500</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r>
      <w:tr>
        <w:trPr>
          <w:trHeight w:val="30" w:hRule="atLeast"/>
        </w:trPr>
        <w:tc>
          <w:tcPr>
            <w:tcW w:w="66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w:t>
            </w:r>
          </w:p>
        </w:tc>
        <w:tc>
          <w:tcPr>
            <w:tcW w:w="15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0,85</w:t>
            </w:r>
          </w:p>
        </w:tc>
        <w:tc>
          <w:tcPr>
            <w:tcW w:w="1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0,89</w:t>
            </w:r>
          </w:p>
        </w:tc>
        <w:tc>
          <w:tcPr>
            <w:tcW w:w="1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0,91</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0,93</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0,95</w:t>
            </w:r>
          </w:p>
        </w:tc>
        <w:tc>
          <w:tcPr>
            <w:tcW w:w="15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0,96</w:t>
            </w:r>
          </w:p>
        </w:tc>
      </w:tr>
    </w:tbl>
    <w:bookmarkEnd w:id="296"/>
    <w:bookmarkStart w:name="637601752" w:id="297"/>
    <w:p>
      <w:pPr>
        <w:spacing w:before="120" w:after="120" w:line="240"/>
        <w:ind w:left="0"/>
        <w:jc w:val="both"/>
      </w:pPr>
      <w:r>
        <w:rPr>
          <w:rFonts w:hint="default" w:ascii="Times New Roman" w:hAnsi="Times New Roman"/>
          <w:b w:val="false"/>
          <w:i w:val="false"/>
          <w:color w:val="000000"/>
          <w:sz w:val="24"/>
        </w:rPr>
        <w:t>49. Допустимые длительные токи для неизолированных проводов и окрашенных шин приведены в таблицах 29–35 приложения к настоящим Правилам. Они приняты из расчета допустимой температуры их нагрева +70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при температуре воздуха +25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297"/>
    <w:bookmarkStart w:name="637601753" w:id="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полых алюминиевых проводов марок ПА500 и ПА600 допустимый длительный ток принимается:</w:t>
      </w:r>
    </w:p>
    <w:bookmarkEnd w:id="298"/>
    <w:bookmarkStart w:name="637601754" w:id="299"/>
    <w:tbl>
      <w:tblPr>
        <w:tblW w:w="18660" w:type="auto"/>
        <w:tblCellSpacing w:w="0" w:type="auto"/>
        <w:tblBorders>
          <w:top w:val="none"/>
          <w:left w:val="none"/>
          <w:bottom w:val="none"/>
          <w:right w:val="none"/>
          <w:insideH w:val="none"/>
          <w:insideV w:val="none"/>
        </w:tblBorders>
        <w:tblLayout/>
      </w:tblPr>
      <w:tblGrid>
        <w:gridCol w:w="8912"/>
        <w:gridCol w:w="3552"/>
        <w:gridCol w:w="3536"/>
      </w:tblGrid>
      <w:tr>
        <w:trPr>
          <w:trHeight w:val="30" w:hRule="atLeast"/>
        </w:trPr>
        <w:tc>
          <w:tcPr>
            <w:tcW w:w="8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Марка провода</w:t>
            </w:r>
          </w:p>
        </w:tc>
        <w:tc>
          <w:tcPr>
            <w:tcW w:w="35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ПА500</w:t>
            </w:r>
          </w:p>
        </w:tc>
        <w:tc>
          <w:tcPr>
            <w:tcW w:w="35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ПА6000</w:t>
            </w:r>
          </w:p>
        </w:tc>
      </w:tr>
      <w:tr>
        <w:trPr>
          <w:trHeight w:val="30" w:hRule="atLeast"/>
        </w:trPr>
        <w:tc>
          <w:tcPr>
            <w:tcW w:w="8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35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1340</w:t>
            </w:r>
          </w:p>
        </w:tc>
        <w:tc>
          <w:tcPr>
            <w:tcW w:w="35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1680</w:t>
            </w:r>
          </w:p>
        </w:tc>
      </w:tr>
    </w:tbl>
    <w:bookmarkEnd w:id="299"/>
    <w:bookmarkStart w:name="637601755" w:id="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 При расположении шин прямоугольного сечения плашмя токи, приведенные в таблице 33 приложения к настоящим Правилам, должны быть уменьшены на 5 % для шин с шириной полос до 60 мм и на 8 % для шин с шириной полос более 60 мм.</w:t>
      </w:r>
    </w:p>
    <w:bookmarkEnd w:id="300"/>
    <w:bookmarkStart w:name="637601756" w:id="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w:t>
      </w:r>
    </w:p>
    <w:bookmarkEnd w:id="301"/>
    <w:bookmarkStart w:name="637601757" w:id="302"/>
    <w:p>
      <w:pPr>
        <w:spacing w:before="120" w:after="120" w:line="240"/>
        <w:ind w:left="0"/>
        <w:jc w:val="both"/>
      </w:pPr>
      <w:r>
        <w:rPr>
          <w:rFonts w:hint="default" w:ascii="Times New Roman" w:hAnsi="Times New Roman"/>
          <w:b w:val="false"/>
          <w:i w:val="false"/>
          <w:color w:val="000000"/>
          <w:sz w:val="24"/>
        </w:rPr>
        <w:t>52. Сечения проводников должны быть проверены по экономической плотности тока. Экономически целесообразное сечение S,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определяется из соотношения:</w:t>
      </w:r>
    </w:p>
    <w:bookmarkEnd w:id="302"/>
    <w:bookmarkStart w:name="637601758" w:id="303"/>
    <w:p>
      <w:pPr>
        <w:spacing w:before="120" w:after="120" w:line="240"/>
        <w:ind w:left="0"/>
        <w:jc w:val="center"/>
      </w:pPr>
      <w:r>
        <w:drawing>
          <wp:inline distT="0" distB="0" distL="0" distR="0">
            <wp:extent cx="71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1200" cy="571500"/>
                    </a:xfrm>
                    <a:prstGeom prst="rect">
                      <a:avLst/>
                    </a:prstGeom>
                  </pic:spPr>
                </pic:pic>
              </a:graphicData>
            </a:graphic>
          </wp:inline>
        </w:drawing>
      </w:r>
      <w:r>
        <w:rPr>
          <w:rFonts w:hint="default" w:ascii="Times New Roman" w:hAnsi="Times New Roman"/>
          <w:b w:val="false"/>
          <w:i w:val="false"/>
          <w:color w:val="000000"/>
          <w:sz w:val="24"/>
        </w:rPr>
        <w:t xml:space="preserve"> ,</w:t>
      </w:r>
    </w:p>
    <w:bookmarkEnd w:id="303"/>
    <w:bookmarkStart w:name="637601759" w:id="304"/>
    <w:p>
      <w:pPr>
        <w:spacing w:before="120" w:after="120" w:line="240"/>
        <w:ind w:left="0"/>
        <w:jc w:val="both"/>
      </w:pPr>
      <w:r>
        <w:rPr>
          <w:b w:val="false"/>
          <w:i w:val="false"/>
          <w:color w:val="000000"/>
          <w:sz w:val="24"/>
        </w:rPr>
        <w:t> </w:t>
      </w:r>
      <w:r>
        <w:br/>
      </w:r>
      <w:r>
        <w:rPr>
          <w:b w:val="false"/>
          <w:i w:val="false"/>
          <w:color w:val="000000"/>
          <w:sz w:val="24"/>
        </w:rPr>
        <w:t>
 где I – расчетный ток в час максимума энергосистемы, А J</w:t>
      </w:r>
      <w:r>
        <w:rPr>
          <w:b w:val="false"/>
          <w:i w:val="false"/>
          <w:color w:val="000000"/>
          <w:vertAlign w:val="subscript"/>
        </w:rPr>
        <w:t>эк</w:t>
      </w:r>
      <w:r>
        <w:rPr>
          <w:b w:val="false"/>
          <w:i w:val="false"/>
          <w:color w:val="000000"/>
          <w:sz w:val="24"/>
        </w:rPr>
        <w:t xml:space="preserve"> – нормированное значение экономической плотности тока, А/мм</w:t>
      </w:r>
      <w:r>
        <w:rPr>
          <w:b w:val="false"/>
          <w:i w:val="false"/>
          <w:color w:val="000000"/>
          <w:vertAlign w:val="superscript"/>
        </w:rPr>
        <w:t>2</w:t>
      </w:r>
      <w:r>
        <w:rPr>
          <w:b w:val="false"/>
          <w:i w:val="false"/>
          <w:color w:val="000000"/>
          <w:sz w:val="24"/>
        </w:rPr>
        <w:t xml:space="preserve"> , для заданных условий работы, выбираемое по таблице 36 приложения к настоящим Правилам.</w:t>
      </w:r>
    </w:p>
    <w:bookmarkEnd w:id="304"/>
    <w:bookmarkStart w:name="637601760" w:id="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увеличение тока в послеаварийных и ремонтных режимах сети не учитывается.</w:t>
      </w:r>
    </w:p>
    <w:bookmarkEnd w:id="305"/>
    <w:bookmarkStart w:name="637601761" w:id="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p>
    <w:bookmarkEnd w:id="306"/>
    <w:bookmarkStart w:name="637601762" w:id="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таблице 36 приложения к настоящим Правилам.</w:t>
      </w:r>
    </w:p>
    <w:bookmarkEnd w:id="307"/>
    <w:bookmarkStart w:name="637601763" w:id="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технико-экономических расчетах учитываются все вложения в дополнительную линию, включая оборудование и камеры распределительных устройств на обоих концах линий. Также проверяется целесообразность повышения напряжения линии.</w:t>
      </w:r>
    </w:p>
    <w:bookmarkEnd w:id="308"/>
    <w:bookmarkStart w:name="637601764" w:id="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Данными указаниями необходимо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полная стоимость всех работ по демонтажу и монтажу оборудования линии, включая стоимость аппаратов и материалов.</w:t>
      </w:r>
    </w:p>
    <w:bookmarkEnd w:id="309"/>
    <w:bookmarkStart w:name="637601765" w:id="3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 Проверке по экономической плотности тока не подлежат:</w:t>
      </w:r>
    </w:p>
    <w:bookmarkEnd w:id="310"/>
    <w:bookmarkStart w:name="637601766" w:id="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сети промышленных предприятий и сооружений напряжением до 1 кВ при числе часов использования максимума нагрузки предприятий до 4000–5000;</w:t>
      </w:r>
    </w:p>
    <w:bookmarkEnd w:id="311"/>
    <w:bookmarkStart w:name="637601767" w:id="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ответвления к отдельным электроприемникам напряжением до 1 кВ, а также осветительные сети промышленных предприятий, жилых и общественных зданий;</w:t>
      </w:r>
    </w:p>
    <w:bookmarkEnd w:id="312"/>
    <w:bookmarkStart w:name="637601768" w:id="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сборные шины электроустановок и ошиновка в пределах открытых и закрытых распределительных устройств всех напряжений;</w:t>
      </w:r>
    </w:p>
    <w:bookmarkEnd w:id="313"/>
    <w:bookmarkStart w:name="637601769" w:id="3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проводники, идущие к резисторам, пусковым реостатам;</w:t>
      </w:r>
    </w:p>
    <w:bookmarkEnd w:id="314"/>
    <w:bookmarkStart w:name="637601770" w:id="3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сети временных сооружений, а также устройства со сроком службы 3–5 лет.</w:t>
      </w:r>
    </w:p>
    <w:bookmarkEnd w:id="315"/>
    <w:bookmarkStart w:name="637601771" w:id="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 При пользовании таблицы 36 приложения к настоящим Правилам необходимо руководствоваться следующим:</w:t>
      </w:r>
    </w:p>
    <w:bookmarkEnd w:id="316"/>
    <w:bookmarkStart w:name="637601772" w:id="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максимуме нагрузки в ночное время экономическая плотность тока увеличивается на 40 %;</w:t>
      </w:r>
    </w:p>
    <w:bookmarkEnd w:id="317"/>
    <w:bookmarkStart w:name="637601773" w:id="318"/>
    <w:p>
      <w:pPr>
        <w:spacing w:before="120" w:after="120" w:line="240"/>
        <w:ind w:left="0"/>
        <w:jc w:val="both"/>
      </w:pPr>
      <w:r>
        <w:rPr>
          <w:rFonts w:hint="default" w:ascii="Times New Roman" w:hAnsi="Times New Roman"/>
          <w:b w:val="false"/>
          <w:i w:val="false"/>
          <w:color w:val="000000"/>
          <w:sz w:val="24"/>
        </w:rPr>
        <w:t>2) для изолированных проводников сечением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менее экономическая плотность тока увеличивается на 40 %;</w:t>
      </w:r>
    </w:p>
    <w:bookmarkEnd w:id="318"/>
    <w:bookmarkStart w:name="637601774" w:id="319"/>
    <w:p>
      <w:pPr>
        <w:spacing w:before="120" w:after="120" w:line="240"/>
        <w:ind w:left="0"/>
        <w:jc w:val="both"/>
      </w:pPr>
      <w:r>
        <w:rPr>
          <w:rFonts w:hint="default" w:ascii="Times New Roman" w:hAnsi="Times New Roman"/>
          <w:b w:val="false"/>
          <w:i w:val="false"/>
          <w:color w:val="000000"/>
          <w:sz w:val="24"/>
        </w:rPr>
        <w:t>3) для линий одинакового сечения с n ответвляющимися нагрузками экономическая плотность тока в начале линии увеличивается в k</w:t>
      </w:r>
      <w:r>
        <w:rPr>
          <w:rFonts w:hint="default" w:ascii="Times New Roman" w:hAnsi="Times New Roman"/>
          <w:b w:val="false"/>
          <w:i w:val="false"/>
          <w:color w:val="000000"/>
          <w:vertAlign w:val="subscript"/>
        </w:rPr>
        <w:t>у</w:t>
      </w:r>
      <w:r>
        <w:rPr>
          <w:rFonts w:hint="default" w:ascii="Times New Roman" w:hAnsi="Times New Roman"/>
          <w:b w:val="false"/>
          <w:i w:val="false"/>
          <w:color w:val="000000"/>
          <w:sz w:val="24"/>
        </w:rPr>
        <w:t xml:space="preserve"> раз, причем k</w:t>
      </w:r>
      <w:r>
        <w:rPr>
          <w:rFonts w:hint="default" w:ascii="Times New Roman" w:hAnsi="Times New Roman"/>
          <w:b w:val="false"/>
          <w:i w:val="false"/>
          <w:color w:val="000000"/>
          <w:vertAlign w:val="subscript"/>
        </w:rPr>
        <w:t>у</w:t>
      </w:r>
      <w:r>
        <w:rPr>
          <w:rFonts w:hint="default" w:ascii="Times New Roman" w:hAnsi="Times New Roman"/>
          <w:b w:val="false"/>
          <w:i w:val="false"/>
          <w:color w:val="000000"/>
          <w:sz w:val="24"/>
        </w:rPr>
        <w:t xml:space="preserve"> определяется по формуле:</w:t>
      </w:r>
    </w:p>
    <w:bookmarkEnd w:id="319"/>
    <w:bookmarkStart w:name="637601775" w:id="320"/>
    <w:p>
      <w:pPr>
        <w:spacing w:before="120" w:after="120" w:line="240"/>
        <w:ind w:left="0"/>
        <w:jc w:val="center"/>
      </w:pPr>
      <w:r>
        <w:rPr>
          <w:rFonts w:hint="default" w:ascii="Times New Roman" w:hAnsi="Times New Roman"/>
          <w:b w:val="false"/>
          <w:i w:val="false"/>
          <w:color w:val="000000"/>
          <w:sz w:val="24"/>
        </w:rPr>
        <w:t>k</w:t>
      </w:r>
      <w:r>
        <w:rPr>
          <w:rFonts w:hint="default" w:ascii="Times New Roman" w:hAnsi="Times New Roman"/>
          <w:b w:val="false"/>
          <w:i w:val="false"/>
          <w:color w:val="000000"/>
          <w:vertAlign w:val="subscript"/>
        </w:rPr>
        <w:t>y</w:t>
      </w:r>
      <w:r>
        <w:drawing>
          <wp:inline distT="0" distB="0" distL="0" distR="0">
            <wp:extent cx="2171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171700" cy="698500"/>
                    </a:xfrm>
                    <a:prstGeom prst="rect">
                      <a:avLst/>
                    </a:prstGeom>
                  </pic:spPr>
                </pic:pic>
              </a:graphicData>
            </a:graphic>
          </wp:inline>
        </w:drawing>
      </w:r>
    </w:p>
    <w:bookmarkEnd w:id="320"/>
    <w:bookmarkStart w:name="637601776" w:id="321"/>
    <w:p>
      <w:pPr>
        <w:spacing w:before="120" w:after="120" w:line="240"/>
        <w:ind w:left="0"/>
        <w:jc w:val="both"/>
      </w:pPr>
      <w:r>
        <w:rPr>
          <w:rFonts w:hint="default" w:ascii="Times New Roman" w:hAnsi="Times New Roman"/>
          <w:b w:val="false"/>
          <w:i w:val="false"/>
          <w:color w:val="000000"/>
          <w:sz w:val="24"/>
        </w:rPr>
        <w:t>где I</w:t>
      </w:r>
      <w:r>
        <w:rPr>
          <w:rFonts w:hint="default" w:ascii="Times New Roman" w:hAnsi="Times New Roman"/>
          <w:b w:val="false"/>
          <w:i w:val="false"/>
          <w:color w:val="000000"/>
          <w:vertAlign w:val="subscript"/>
        </w:rPr>
        <w:t>1</w:t>
      </w:r>
      <w:r>
        <w:rPr>
          <w:rFonts w:hint="default" w:ascii="Times New Roman" w:hAnsi="Times New Roman"/>
          <w:b w:val="false"/>
          <w:i w:val="false"/>
          <w:color w:val="000000"/>
          <w:sz w:val="24"/>
        </w:rPr>
        <w:t xml:space="preserve"> , I</w:t>
      </w:r>
      <w:r>
        <w:rPr>
          <w:rFonts w:hint="default" w:ascii="Times New Roman" w:hAnsi="Times New Roman"/>
          <w:b w:val="false"/>
          <w:i w:val="false"/>
          <w:color w:val="000000"/>
          <w:vertAlign w:val="subscript"/>
        </w:rPr>
        <w:t>2</w:t>
      </w:r>
      <w:r>
        <w:rPr>
          <w:rFonts w:hint="default" w:ascii="Times New Roman" w:hAnsi="Times New Roman"/>
          <w:b w:val="false"/>
          <w:i w:val="false"/>
          <w:color w:val="000000"/>
          <w:sz w:val="24"/>
        </w:rPr>
        <w:t xml:space="preserve"> ,..., I</w:t>
      </w:r>
      <w:r>
        <w:rPr>
          <w:rFonts w:hint="default" w:ascii="Times New Roman" w:hAnsi="Times New Roman"/>
          <w:b w:val="false"/>
          <w:i w:val="false"/>
          <w:color w:val="000000"/>
          <w:vertAlign w:val="subscript"/>
        </w:rPr>
        <w:t>n</w:t>
      </w:r>
      <w:r>
        <w:rPr>
          <w:rFonts w:hint="default" w:ascii="Times New Roman" w:hAnsi="Times New Roman"/>
          <w:b w:val="false"/>
          <w:i w:val="false"/>
          <w:color w:val="000000"/>
          <w:sz w:val="24"/>
        </w:rPr>
        <w:t xml:space="preserve"> – нагрузки отдельных участков линии; l</w:t>
      </w:r>
      <w:r>
        <w:rPr>
          <w:rFonts w:hint="default" w:ascii="Times New Roman" w:hAnsi="Times New Roman"/>
          <w:b w:val="false"/>
          <w:i w:val="false"/>
          <w:color w:val="000000"/>
          <w:vertAlign w:val="subscript"/>
        </w:rPr>
        <w:t>1</w:t>
      </w:r>
      <w:r>
        <w:rPr>
          <w:rFonts w:hint="default" w:ascii="Times New Roman" w:hAnsi="Times New Roman"/>
          <w:b w:val="false"/>
          <w:i w:val="false"/>
          <w:color w:val="000000"/>
          <w:sz w:val="24"/>
        </w:rPr>
        <w:t xml:space="preserve"> , l</w:t>
      </w:r>
      <w:r>
        <w:rPr>
          <w:rFonts w:hint="default" w:ascii="Times New Roman" w:hAnsi="Times New Roman"/>
          <w:b w:val="false"/>
          <w:i w:val="false"/>
          <w:color w:val="000000"/>
          <w:vertAlign w:val="subscript"/>
        </w:rPr>
        <w:t>2</w:t>
      </w:r>
      <w:r>
        <w:rPr>
          <w:rFonts w:hint="default" w:ascii="Times New Roman" w:hAnsi="Times New Roman"/>
          <w:b w:val="false"/>
          <w:i w:val="false"/>
          <w:color w:val="000000"/>
          <w:sz w:val="24"/>
        </w:rPr>
        <w:t xml:space="preserve"> ,..., l</w:t>
      </w:r>
      <w:r>
        <w:rPr>
          <w:rFonts w:hint="default" w:ascii="Times New Roman" w:hAnsi="Times New Roman"/>
          <w:b w:val="false"/>
          <w:i w:val="false"/>
          <w:color w:val="000000"/>
          <w:vertAlign w:val="subscript"/>
        </w:rPr>
        <w:t>n</w:t>
      </w:r>
      <w:r>
        <w:rPr>
          <w:rFonts w:hint="default" w:ascii="Times New Roman" w:hAnsi="Times New Roman"/>
          <w:b w:val="false"/>
          <w:i w:val="false"/>
          <w:color w:val="000000"/>
          <w:sz w:val="24"/>
        </w:rPr>
        <w:t xml:space="preserve"> – длины отдельных участков линии; L – полная длина линии;</w:t>
      </w:r>
    </w:p>
    <w:bookmarkEnd w:id="321"/>
    <w:bookmarkStart w:name="637601777" w:id="322"/>
    <w:p>
      <w:pPr>
        <w:spacing w:before="120" w:after="120" w:line="240"/>
        <w:ind w:left="0"/>
        <w:jc w:val="both"/>
      </w:pPr>
      <w:r>
        <w:rPr>
          <w:rFonts w:hint="default" w:ascii="Times New Roman" w:hAnsi="Times New Roman"/>
          <w:b w:val="false"/>
          <w:i w:val="false"/>
          <w:color w:val="000000"/>
          <w:sz w:val="24"/>
        </w:rPr>
        <w:t>4) при выборе сечений проводников для питания n однотипных, взаиморезервируемых электроприемников (насосов водоснабжения, преобразовательных агрегатов), из которых m одновременно находятся в работе, экономическая плотность тока увеличивается против значений, приведенных в таблице 36 приложения настоящих Правил, в k</w:t>
      </w:r>
      <w:r>
        <w:rPr>
          <w:rFonts w:hint="default" w:ascii="Times New Roman" w:hAnsi="Times New Roman"/>
          <w:b w:val="false"/>
          <w:i w:val="false"/>
          <w:color w:val="000000"/>
          <w:vertAlign w:val="subscript"/>
        </w:rPr>
        <w:t>n</w:t>
      </w:r>
      <w:r>
        <w:rPr>
          <w:rFonts w:hint="default" w:ascii="Times New Roman" w:hAnsi="Times New Roman"/>
          <w:b w:val="false"/>
          <w:i w:val="false"/>
          <w:color w:val="000000"/>
          <w:sz w:val="24"/>
        </w:rPr>
        <w:t xml:space="preserve"> раз, где k</w:t>
      </w:r>
      <w:r>
        <w:rPr>
          <w:rFonts w:hint="default" w:ascii="Times New Roman" w:hAnsi="Times New Roman"/>
          <w:b w:val="false"/>
          <w:i w:val="false"/>
          <w:color w:val="000000"/>
          <w:vertAlign w:val="subscript"/>
        </w:rPr>
        <w:t>n</w:t>
      </w:r>
      <w:r>
        <w:rPr>
          <w:rFonts w:hint="default" w:ascii="Times New Roman" w:hAnsi="Times New Roman"/>
          <w:b w:val="false"/>
          <w:i w:val="false"/>
          <w:color w:val="000000"/>
          <w:sz w:val="24"/>
        </w:rPr>
        <w:t xml:space="preserve"> равно:</w:t>
      </w:r>
    </w:p>
    <w:bookmarkEnd w:id="322"/>
    <w:bookmarkStart w:name="637601778" w:id="323"/>
    <w:p>
      <w:pPr>
        <w:spacing w:before="120" w:after="120" w:line="240"/>
        <w:ind w:left="0"/>
        <w:jc w:val="center"/>
      </w:pPr>
      <w:r>
        <w:drawing>
          <wp:inline distT="0" distB="0" distL="0" distR="0">
            <wp:extent cx="87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76300" cy="596900"/>
                    </a:xfrm>
                    <a:prstGeom prst="rect">
                      <a:avLst/>
                    </a:prstGeom>
                  </pic:spPr>
                </pic:pic>
              </a:graphicData>
            </a:graphic>
          </wp:inline>
        </w:drawing>
      </w:r>
    </w:p>
    <w:bookmarkEnd w:id="323"/>
    <w:bookmarkStart w:name="637601779" w:id="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 Сечение проводов ВЛ 35 кВ в сельской местности, питающих понижающие подстанции 35/6–10 кВ с трансформаторами с регулированием напряжения под нагрузкой, должно выбираться по экономической плотности тока. Расчетная нагрузка при выборе сечений проводов принимается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p>
    <w:bookmarkEnd w:id="324"/>
    <w:bookmarkStart w:name="637601780" w:id="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 Выбор экономических сечений проводов воздушных и жил кабельных линий, имеющих промежуточные отборы мощности, производятся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1 км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p>
    <w:bookmarkEnd w:id="325"/>
    <w:bookmarkStart w:name="637601781" w:id="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 Для линий электропередачи напряжением 6–20 кВ значения плотности тока, приведенные в таблице 36 приложения к настоящим Правилам,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bookmarkEnd w:id="326"/>
    <w:bookmarkStart w:name="637601782" w:id="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p>
    <w:bookmarkEnd w:id="327"/>
    <w:bookmarkStart w:name="637601783" w:id="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p>
    <w:bookmarkEnd w:id="328"/>
    <w:bookmarkStart w:name="637601784" w:id="3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проводников необходима проверка по условиям допустимого уровня радиопомех от короны.</w:t>
      </w:r>
    </w:p>
    <w:bookmarkEnd w:id="329"/>
    <w:bookmarkStart w:name="637601785" w:id="330"/>
    <w:p>
      <w:pPr>
        <w:spacing w:before="120" w:after="120" w:line="240"/>
        <w:ind w:left="0"/>
        <w:jc w:val="both"/>
      </w:pPr>
      <w:r>
        <w:rPr>
          <w:rFonts w:hint="default" w:ascii="Times New Roman" w:hAnsi="Times New Roman"/>
          <w:b/>
          <w:i w:val="false"/>
          <w:color w:val="000000"/>
          <w:sz w:val="24"/>
        </w:rPr>
        <w:t>4. Выбор электрических аппаратов и проводников по условиям короткого замыкания</w:t>
      </w:r>
    </w:p>
    <w:bookmarkEnd w:id="330"/>
    <w:bookmarkStart w:name="637601786" w:id="331"/>
    <w:p>
      <w:pPr>
        <w:spacing w:before="120" w:after="120" w:line="240"/>
        <w:ind w:left="0"/>
        <w:jc w:val="center"/>
      </w:pPr>
      <w:r>
        <w:rPr>
          <w:rFonts w:hint="default" w:ascii="Times New Roman" w:hAnsi="Times New Roman"/>
          <w:b/>
          <w:i w:val="false"/>
          <w:color w:val="000000"/>
          <w:sz w:val="24"/>
        </w:rPr>
        <w:t>Параграф 1. Общие требования</w:t>
      </w:r>
    </w:p>
    <w:bookmarkEnd w:id="331"/>
    <w:bookmarkStart w:name="637601787" w:id="3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 По режиму КЗ должны проверяться:</w:t>
      </w:r>
    </w:p>
    <w:bookmarkEnd w:id="332"/>
    <w:bookmarkStart w:name="637601788" w:id="3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электроустановках выше 1 кВ:</w:t>
      </w:r>
    </w:p>
    <w:bookmarkEnd w:id="333"/>
    <w:bookmarkStart w:name="637601789" w:id="3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электрические аппараты, токопроводы, кабели и другие проводники, а также опорные и несущие конструкции для них;</w:t>
      </w:r>
    </w:p>
    <w:bookmarkEnd w:id="334"/>
    <w:bookmarkStart w:name="637601790" w:id="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воздушные линии электропередачи при ударном токе КЗ 50 кА и более для предупреждения схлестывания проводов при динамическом действии токов КЗ.</w:t>
      </w:r>
    </w:p>
    <w:bookmarkEnd w:id="335"/>
    <w:bookmarkStart w:name="637601791" w:id="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p>
    <w:bookmarkEnd w:id="336"/>
    <w:bookmarkStart w:name="637601792" w:id="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Провода ВЛ, оборудованные устройствами быстродействующего автоматического повторного включения, проверяются и на термическую стойкость.</w:t>
      </w:r>
    </w:p>
    <w:bookmarkEnd w:id="337"/>
    <w:bookmarkStart w:name="637601793" w:id="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электроустановках до 1 кВ – распределительные щиты, токопроводы и силовые шкафы. Трансформаторы тока по режиму КЗ не проверяются.</w:t>
      </w:r>
    </w:p>
    <w:bookmarkEnd w:id="338"/>
    <w:bookmarkStart w:name="637601794" w:id="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Аппараты, которые предназначены для отключения токов КЗ или могут по условиям своей работы включать короткозамкнутую цепь, должны, обладать способностью производить эти операции при всех возможных токах КЗ.</w:t>
      </w:r>
    </w:p>
    <w:bookmarkEnd w:id="339"/>
    <w:bookmarkStart w:name="637601795" w:id="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p>
    <w:bookmarkEnd w:id="340"/>
    <w:bookmarkStart w:name="637601796" w:id="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 По режиму КЗ при напряжении выше 1 кВ не проверяются:</w:t>
      </w:r>
    </w:p>
    <w:bookmarkEnd w:id="341"/>
    <w:bookmarkStart w:name="637601797" w:id="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аппараты и проводники, защищенные плавкими предохранителями с вставками на номинальный ток до 60 А, – по электродинамической стойкости;</w:t>
      </w:r>
    </w:p>
    <w:bookmarkEnd w:id="342"/>
    <w:bookmarkStart w:name="637601798" w:id="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аппараты и проводники, защищенные плавкими предохранителями независимо от их номинального тока и типа, – по термической стойкости.</w:t>
      </w:r>
    </w:p>
    <w:bookmarkEnd w:id="343"/>
    <w:bookmarkStart w:name="637601799" w:id="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p>
    <w:bookmarkEnd w:id="344"/>
    <w:bookmarkStart w:name="637601800" w:id="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проводники в цепях к индивидуальным электроприемникам, в том числе к цеховым трансформаторам общей мощностью до 2,5 МВ*А и с высшим напряжением до 20 кВ, если соблюдены одновременно следующие условия:</w:t>
      </w:r>
    </w:p>
    <w:bookmarkEnd w:id="345"/>
    <w:bookmarkStart w:name="637601801" w:id="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p>
    <w:bookmarkEnd w:id="346"/>
    <w:bookmarkStart w:name="637601802" w:id="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повреждение проводника при КЗ не может вызвать взрыва или пожара;</w:t>
      </w:r>
    </w:p>
    <w:bookmarkEnd w:id="347"/>
    <w:bookmarkStart w:name="637601803" w:id="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возможна замена проводника без значительных затруднений;</w:t>
      </w:r>
    </w:p>
    <w:bookmarkEnd w:id="348"/>
    <w:bookmarkStart w:name="637601804" w:id="3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проводники к индивидуальным электроприемникам, указанным в подпункте 3) настоящего пункта,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повреждение проводника при КЗ не может вызвать взрыва или пожара;</w:t>
      </w:r>
    </w:p>
    <w:bookmarkEnd w:id="349"/>
    <w:bookmarkStart w:name="637601805" w:id="3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точностей присоединенных измерительных приборов; при этом на стороне высшего напряжения в цепях силовых трансформаторов необходимо избегать применения трансформаторов тока, не стойких к току КЗ, а приборы учета необходимо присоединять к трансформаторам тока на стороне низшего напряжения;</w:t>
      </w:r>
    </w:p>
    <w:bookmarkEnd w:id="350"/>
    <w:bookmarkStart w:name="637601806" w:id="3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провода ВЛ;</w:t>
      </w:r>
    </w:p>
    <w:bookmarkEnd w:id="351"/>
    <w:bookmarkStart w:name="637601807" w:id="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p>
    <w:bookmarkEnd w:id="352"/>
    <w:bookmarkStart w:name="637601808" w:id="3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 При выборе расчетной схемы для определения токов КЗ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Ремонтные и послеаварийные режимы работы электроустановки к кратковременным изменениям схемы не относятся.</w:t>
      </w:r>
    </w:p>
    <w:bookmarkEnd w:id="353"/>
    <w:bookmarkStart w:name="637601809" w:id="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p>
    <w:bookmarkEnd w:id="354"/>
    <w:bookmarkStart w:name="637601810" w:id="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допустимо вести расчет токов КЗ приближенно для начального момента КЗ.</w:t>
      </w:r>
    </w:p>
    <w:bookmarkEnd w:id="355"/>
    <w:bookmarkStart w:name="637601811" w:id="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 В качестве расчетного вида КЗ принимается:</w:t>
      </w:r>
    </w:p>
    <w:bookmarkEnd w:id="356"/>
    <w:bookmarkStart w:name="637601812" w:id="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p>
    <w:bookmarkEnd w:id="357"/>
    <w:bookmarkStart w:name="637601813" w:id="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p>
    <w:bookmarkEnd w:id="358"/>
    <w:bookmarkStart w:name="637601814" w:id="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p>
    <w:bookmarkEnd w:id="359"/>
    <w:bookmarkStart w:name="637601815" w:id="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 Расчетный ток КЗ определяется,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Со случаями одновременного замыкания на землю различных фаз в двух разных точках схемы допустимо не считаться.</w:t>
      </w:r>
    </w:p>
    <w:bookmarkEnd w:id="360"/>
    <w:bookmarkStart w:name="637601816" w:id="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выбираются по току КЗ за реактором, если последний расположен в том же здании и соединение выполнено шинами.</w:t>
      </w:r>
    </w:p>
    <w:bookmarkEnd w:id="361"/>
    <w:bookmarkStart w:name="637601817" w:id="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Шинные ответвления от сборных шин до разделяющих полок и проходные изоляторы в последних должны быть выбраны исходя из КЗ до реактора.</w:t>
      </w:r>
    </w:p>
    <w:bookmarkEnd w:id="362"/>
    <w:bookmarkStart w:name="637601818" w:id="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 При расчете термической стойкости в качестве расчетного времени принимается сумма времен, получаемая от сложения времени действия основной защиты (с учетом действия АП3), установленной у ближайшего к месту КЗ выключателя, и полного времени отключения этого выключателя (включая время горения дуги).</w:t>
      </w:r>
    </w:p>
    <w:bookmarkEnd w:id="363"/>
    <w:bookmarkStart w:name="637601819" w:id="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зоны нечувствительности у основной защиты (по току, напряжению, сопротивлению)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принимается то значение, которое соответствует этому месту повреждения.</w:t>
      </w:r>
    </w:p>
    <w:bookmarkEnd w:id="364"/>
    <w:bookmarkStart w:name="637601820" w:id="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Аппаратура и токопроводы, применяемые в цепях генераторов мощностью 60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 секунды.</w:t>
      </w:r>
    </w:p>
    <w:bookmarkEnd w:id="365"/>
    <w:bookmarkStart w:name="637601821" w:id="366"/>
    <w:p>
      <w:pPr>
        <w:spacing w:before="120" w:after="120" w:line="240"/>
        <w:ind w:left="0"/>
        <w:jc w:val="center"/>
      </w:pPr>
      <w:r>
        <w:rPr>
          <w:rFonts w:hint="default" w:ascii="Times New Roman" w:hAnsi="Times New Roman"/>
          <w:b/>
          <w:i w:val="false"/>
          <w:color w:val="000000"/>
          <w:sz w:val="24"/>
        </w:rPr>
        <w:t>Параграф 2. Определение токов короткого замыкания длявыбора аппаратов и проводников</w:t>
      </w:r>
    </w:p>
    <w:bookmarkEnd w:id="366"/>
    <w:bookmarkStart w:name="637601822" w:id="3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 Проверке по экономической плотности тока не подлежат:</w:t>
      </w:r>
    </w:p>
    <w:bookmarkEnd w:id="367"/>
    <w:bookmarkStart w:name="637601823" w:id="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электроустановках до 1 кВ и выше при определении токов КЗ для выбора аппаратов и проводников и определения воздействия на несущие конструкции исходить из следующего:</w:t>
      </w:r>
    </w:p>
    <w:bookmarkEnd w:id="368"/>
    <w:bookmarkStart w:name="637601824" w:id="3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все источники, участвующие в питании рассматриваемой точки КЗ, работают одновременно с номинальной нагрузкой;</w:t>
      </w:r>
    </w:p>
    <w:bookmarkEnd w:id="369"/>
    <w:bookmarkStart w:name="637601825" w:id="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все синхронные машины имеют автоматические регуляторы напряжения и устройства форсировки возбуждения;</w:t>
      </w:r>
    </w:p>
    <w:bookmarkEnd w:id="370"/>
    <w:bookmarkStart w:name="637601826" w:id="3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короткое замыкание наступает в такой момент времени, при котором ток КЗ будет иметь наибольшее значение;</w:t>
      </w:r>
    </w:p>
    <w:bookmarkEnd w:id="371"/>
    <w:bookmarkStart w:name="637601827" w:id="3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электродвижущие силы всех источников питания совпадают по фазе;</w:t>
      </w:r>
    </w:p>
    <w:bookmarkEnd w:id="372"/>
    <w:bookmarkStart w:name="637601828" w:id="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расчетное напряжение каждой ступени принимается на 5 % выше номинального напряжения сети;</w:t>
      </w:r>
    </w:p>
    <w:bookmarkEnd w:id="373"/>
    <w:bookmarkStart w:name="637601829" w:id="3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w:t>
      </w:r>
    </w:p>
    <w:bookmarkEnd w:id="374"/>
    <w:bookmarkStart w:name="637601830" w:id="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 В электроустановках выше 1 кВ в качестве расчетных сопротивлений принимаются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учитывается только для ВЛ с проводами малых сечений и стальными проводами, а также для протяженных кабельных сетей малых сечений с большим активным сопротивлением.</w:t>
      </w:r>
    </w:p>
    <w:bookmarkEnd w:id="375"/>
    <w:bookmarkStart w:name="637601831" w:id="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 В электроустановках до 1 кВ в качестве расчетных сопротивлений принимаются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10 %.</w:t>
      </w:r>
    </w:p>
    <w:bookmarkEnd w:id="376"/>
    <w:bookmarkStart w:name="637601832" w:id="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 В случае питания электрических сетей до 1 кВ от понижающих трансформаторов при расчете токов КЗ исходить из условия, что подведенное к трансформатору напряжение неизменно и равно его номинальному напряжению.</w:t>
      </w:r>
    </w:p>
    <w:bookmarkEnd w:id="377"/>
    <w:bookmarkStart w:name="637601833" w:id="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 Элементы цепи, защищенной плавким предохранителем с токоограничивающим действием, проверяются на электродинамическую стойкость по наибольшему мгновенному значению тока КЗ, пропускаемого предохранителем.</w:t>
      </w:r>
    </w:p>
    <w:bookmarkEnd w:id="378"/>
    <w:bookmarkStart w:name="637601834" w:id="379"/>
    <w:p>
      <w:pPr>
        <w:spacing w:before="120" w:after="120" w:line="240"/>
        <w:ind w:left="0"/>
        <w:jc w:val="center"/>
      </w:pPr>
      <w:r>
        <w:rPr>
          <w:rFonts w:hint="default" w:ascii="Times New Roman" w:hAnsi="Times New Roman"/>
          <w:b/>
          <w:i w:val="false"/>
          <w:color w:val="000000"/>
          <w:sz w:val="24"/>
        </w:rPr>
        <w:t>Параграф 3. Выбор проводников и изоляторов, проверка несущих конструкций по условиям динамического действия токов короткого замыкания</w:t>
      </w:r>
    </w:p>
    <w:bookmarkEnd w:id="379"/>
    <w:bookmarkStart w:name="637601835" w:id="380"/>
    <w:p>
      <w:pPr>
        <w:spacing w:before="120" w:after="120" w:line="240"/>
        <w:ind w:left="0"/>
        <w:jc w:val="both"/>
      </w:pPr>
      <w:r>
        <w:rPr>
          <w:rFonts w:hint="default" w:ascii="Times New Roman" w:hAnsi="Times New Roman"/>
          <w:b w:val="false"/>
          <w:i w:val="false"/>
          <w:color w:val="000000"/>
          <w:sz w:val="24"/>
        </w:rPr>
        <w:t>73. Усилия, действующие на жесткие шины и передающиеся ими на изоляторы и поддерживающие жесткие конструкции, рассчитывать по наибольшему мгновенному значению тока трехфазного КЗ i</w:t>
      </w:r>
      <w:r>
        <w:rPr>
          <w:rFonts w:hint="default" w:ascii="Times New Roman" w:hAnsi="Times New Roman"/>
          <w:b w:val="false"/>
          <w:i w:val="false"/>
          <w:color w:val="000000"/>
          <w:vertAlign w:val="subscript"/>
        </w:rPr>
        <w:t>у</w:t>
      </w:r>
      <w:r>
        <w:rPr>
          <w:rFonts w:hint="default" w:ascii="Times New Roman" w:hAnsi="Times New Roman"/>
          <w:b w:val="false"/>
          <w:i w:val="false"/>
          <w:color w:val="000000"/>
          <w:sz w:val="24"/>
        </w:rPr>
        <w:t xml:space="preserve"> с учетом сдвига между токами в фазах и без учета механических колебаний шинной конструкции. В отдельных случаях могут быть учтены механические колебания шин и шинных конструкций.</w:t>
      </w:r>
    </w:p>
    <w:bookmarkEnd w:id="380"/>
    <w:bookmarkStart w:name="637601836" w:id="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p>
    <w:bookmarkEnd w:id="381"/>
    <w:bookmarkStart w:name="637601837" w:id="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Гибкие токопроводы должны проверяться на схлестывание.</w:t>
      </w:r>
    </w:p>
    <w:bookmarkEnd w:id="382"/>
    <w:bookmarkStart w:name="637601838" w:id="3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 Найденные расчетом в соответствии с 110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 соответствующих гарантийных значений наименьшего разрушающего усилия; при спаренных опорных изоляторах – не более 100 % разрушающего усилия одного изолятора.</w:t>
      </w:r>
    </w:p>
    <w:bookmarkEnd w:id="383"/>
    <w:bookmarkStart w:name="637601839" w:id="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шин составных профилей (многополосные, из двух швеллеров) механические напряжения находятся как арифметическая сумма напряжений от взаимодействия фаз и взаимодействия элементов каждой шины между собой.</w:t>
      </w:r>
    </w:p>
    <w:bookmarkEnd w:id="384"/>
    <w:bookmarkStart w:name="637601840" w:id="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Наибольшие механические напряжения в материале жестких шин не должны превосходить 0,7 временного сопротивления разрыву.</w:t>
      </w:r>
    </w:p>
    <w:bookmarkEnd w:id="385"/>
    <w:bookmarkStart w:name="637601841" w:id="386"/>
    <w:p>
      <w:pPr>
        <w:spacing w:before="120" w:after="120" w:line="240"/>
        <w:ind w:left="0"/>
        <w:jc w:val="center"/>
      </w:pPr>
      <w:r>
        <w:rPr>
          <w:rFonts w:hint="default" w:ascii="Times New Roman" w:hAnsi="Times New Roman"/>
          <w:b/>
          <w:i w:val="false"/>
          <w:color w:val="000000"/>
          <w:sz w:val="24"/>
        </w:rPr>
        <w:t>Параграф 4. Выбор проводников по условиям нагрева прикоротком замыкании</w:t>
      </w:r>
    </w:p>
    <w:bookmarkEnd w:id="386"/>
    <w:bookmarkStart w:name="637601842" w:id="387"/>
    <w:p>
      <w:pPr>
        <w:spacing w:before="120" w:after="120" w:line="240"/>
        <w:ind w:left="0"/>
        <w:jc w:val="both"/>
      </w:pPr>
      <w:r>
        <w:rPr>
          <w:rFonts w:hint="default" w:ascii="Times New Roman" w:hAnsi="Times New Roman"/>
          <w:b w:val="false"/>
          <w:i w:val="false"/>
          <w:color w:val="000000"/>
          <w:sz w:val="24"/>
        </w:rPr>
        <w:t xml:space="preserve">75. Температура нагрева проводников при КЗ должна быть не выше следующих предельно допустимых значений,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87"/>
    <w:bookmarkStart w:name="637601843" w:id="388"/>
    <w:tbl>
      <w:tblPr>
        <w:tblW w:w="18660" w:type="auto"/>
        <w:tblCellSpacing w:w="0" w:type="auto"/>
        <w:tblBorders>
          <w:top w:val="none"/>
          <w:left w:val="none"/>
          <w:bottom w:val="none"/>
          <w:right w:val="none"/>
          <w:insideH w:val="none"/>
          <w:insideV w:val="none"/>
        </w:tblBorders>
        <w:tblLayout/>
      </w:tblPr>
      <w:tblGrid>
        <w:gridCol w:w="13724"/>
        <w:gridCol w:w="2276"/>
      </w:tblGrid>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шины:</w:t>
            </w:r>
          </w:p>
        </w:tc>
        <w:tc>
          <w:tcPr>
            <w:tcW w:w="227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медные</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алюминиевые</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стальные, не имеющие непосредственного соединения с аппаратами</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стальные с непосредственным присоединением к аппаратам</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кабели с бумажной пропитанной изоляцией на напряжение, кВ:</w:t>
            </w:r>
          </w:p>
        </w:tc>
        <w:tc>
          <w:tcPr>
            <w:tcW w:w="227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20–220</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кабели и изолированные провода с медными и алюминиевыми жилами и изоляцией:</w:t>
            </w:r>
          </w:p>
        </w:tc>
        <w:tc>
          <w:tcPr>
            <w:tcW w:w="227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поливинилхлоридной и резиновой</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полиэтиленовой</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 медные неизолированные провода при тяжениях, Н/мм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227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20</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 и более</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 алюминиевые неизолированные провода при тяжениях, Н/мм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227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10</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и более</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r>
      <w:tr>
        <w:trPr>
          <w:trHeight w:val="30" w:hRule="atLeast"/>
        </w:trPr>
        <w:tc>
          <w:tcPr>
            <w:tcW w:w="1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 алюминиевая часть сталеалюминевых проводов</w:t>
            </w:r>
          </w:p>
        </w:tc>
        <w:tc>
          <w:tcPr>
            <w:tcW w:w="2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bl>
    <w:bookmarkEnd w:id="388"/>
    <w:bookmarkStart w:name="637601844" w:id="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 Проверка кабелей на нагрев токами КЗ в тех случаях, когда это требуется в соответствии с пунктами 60 и 61 настоящих Правил, должна производиться для:</w:t>
      </w:r>
    </w:p>
    <w:bookmarkEnd w:id="389"/>
    <w:bookmarkStart w:name="637601845" w:id="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одиночных кабелей одной строительной длины, исходя из КЗ в начале кабеля;</w:t>
      </w:r>
    </w:p>
    <w:bookmarkEnd w:id="390"/>
    <w:bookmarkStart w:name="637601846" w:id="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одиночных кабелей со ступенчатыми сечениями по длине, исходя из КЗ в начале каждого участка нового сечения;</w:t>
      </w:r>
    </w:p>
    <w:bookmarkEnd w:id="391"/>
    <w:bookmarkStart w:name="637601847" w:id="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пучка из двух и более параллельно включенных кабелей, исходя из КЗ непосредственно за пучком (по сквозному току КЗ).</w:t>
      </w:r>
    </w:p>
    <w:bookmarkEnd w:id="392"/>
    <w:bookmarkStart w:name="637601848" w:id="3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прохождения тока КЗ по таким линиям.</w:t>
      </w:r>
    </w:p>
    <w:bookmarkEnd w:id="393"/>
    <w:bookmarkStart w:name="637601849" w:id="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Расщепленные провода ВЛ при проверке на нагрев в условиях КЗ рассматриваются как один провод суммарного сечения.</w:t>
      </w:r>
    </w:p>
    <w:bookmarkEnd w:id="394"/>
    <w:bookmarkStart w:name="637601850" w:id="395"/>
    <w:p>
      <w:pPr>
        <w:spacing w:before="120" w:after="120" w:line="240"/>
        <w:ind w:left="0"/>
        <w:jc w:val="center"/>
      </w:pPr>
      <w:r>
        <w:rPr>
          <w:rFonts w:hint="default" w:ascii="Times New Roman" w:hAnsi="Times New Roman"/>
          <w:b/>
          <w:i w:val="false"/>
          <w:color w:val="000000"/>
          <w:sz w:val="24"/>
        </w:rPr>
        <w:t>Параграф 5. Выбор аппаратов по коммутационной способности</w:t>
      </w:r>
    </w:p>
    <w:bookmarkEnd w:id="395"/>
    <w:bookmarkStart w:name="637601851" w:id="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 Выключатели выше 1 кВ выбираются:</w:t>
      </w:r>
    </w:p>
    <w:bookmarkEnd w:id="396"/>
    <w:bookmarkStart w:name="637601852" w:id="3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 отключающей способности с учетом параметров восстанавливающегося напряжения;</w:t>
      </w:r>
    </w:p>
    <w:bookmarkEnd w:id="397"/>
    <w:bookmarkStart w:name="637601853" w:id="3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p>
    <w:bookmarkEnd w:id="398"/>
    <w:bookmarkStart w:name="637601854" w:id="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 Предохранители выбираются по отключающей способности. При этом, в качестве расчетного тока ринимается действующее значение периодической составляющей начального тока КЗ без учета токоограничивающей способности предохранителей.</w:t>
      </w:r>
    </w:p>
    <w:bookmarkEnd w:id="399"/>
    <w:bookmarkStart w:name="637601855" w:id="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 Выключатели нагрузки и короткозамыкатели выбираются по предельно допустимому току, возникающему при включении на КЗ.</w:t>
      </w:r>
    </w:p>
    <w:bookmarkEnd w:id="400"/>
    <w:bookmarkStart w:name="637601856" w:id="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проверяются по режиму такого отключения – включения.</w:t>
      </w:r>
    </w:p>
    <w:bookmarkEnd w:id="401"/>
    <w:bookmarkStart w:name="637601857" w:id="402"/>
    <w:p>
      <w:pPr>
        <w:spacing w:before="120" w:after="120" w:line="240"/>
        <w:ind w:left="0"/>
        <w:jc w:val="both"/>
      </w:pPr>
      <w:r>
        <w:rPr>
          <w:rFonts w:hint="default" w:ascii="Times New Roman" w:hAnsi="Times New Roman"/>
          <w:b/>
          <w:i w:val="false"/>
          <w:color w:val="000000"/>
          <w:sz w:val="24"/>
        </w:rPr>
        <w:t>5. Учет электроэнергии и контроль мощности</w:t>
      </w:r>
    </w:p>
    <w:bookmarkEnd w:id="402"/>
    <w:bookmarkStart w:name="637601858" w:id="403"/>
    <w:p>
      <w:pPr>
        <w:spacing w:before="120" w:after="120" w:line="240"/>
        <w:ind w:left="0"/>
        <w:jc w:val="center"/>
      </w:pPr>
      <w:r>
        <w:rPr>
          <w:rFonts w:hint="default" w:ascii="Times New Roman" w:hAnsi="Times New Roman"/>
          <w:b/>
          <w:i w:val="false"/>
          <w:color w:val="000000"/>
          <w:sz w:val="24"/>
        </w:rPr>
        <w:t>Параграф 1. Общие требования</w:t>
      </w:r>
    </w:p>
    <w:bookmarkEnd w:id="403"/>
    <w:bookmarkStart w:name="637601859" w:id="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 Учет активной электроэнергии обеспечивает определение количества энергии:</w:t>
      </w:r>
    </w:p>
    <w:bookmarkEnd w:id="404"/>
    <w:bookmarkStart w:name="637601860" w:id="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выработанной генераторами электростанций;</w:t>
      </w:r>
    </w:p>
    <w:bookmarkEnd w:id="405"/>
    <w:bookmarkStart w:name="637601861" w:id="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потребленной на собственные и хозяйственные (раздельно) нужды электростанций и подстанций;</w:t>
      </w:r>
    </w:p>
    <w:bookmarkEnd w:id="406"/>
    <w:bookmarkStart w:name="637601862" w:id="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отпущенной непосредственно оптовым покупателям и потребителям по линиям, отходящим от шин электростанций;</w:t>
      </w:r>
    </w:p>
    <w:bookmarkEnd w:id="407"/>
    <w:bookmarkStart w:name="637601863" w:id="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переданной в другие энергосистемы и государства или полученной от них;</w:t>
      </w:r>
    </w:p>
    <w:bookmarkEnd w:id="408"/>
    <w:bookmarkStart w:name="637601864" w:id="4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отпущенной непосредственно оптовым покупателям и потребителям из электрической сети.</w:t>
      </w:r>
    </w:p>
    <w:bookmarkEnd w:id="409"/>
    <w:bookmarkStart w:name="637601865" w:id="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 Учет активной электроэнергии обеспечивает возможность:</w:t>
      </w:r>
    </w:p>
    <w:bookmarkEnd w:id="410"/>
    <w:bookmarkStart w:name="637601866" w:id="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определения поступления электроэнергии в электрические сети разных классов напряжений энергосистемы;</w:t>
      </w:r>
    </w:p>
    <w:bookmarkEnd w:id="411"/>
    <w:bookmarkStart w:name="637601867" w:id="4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составления балансов электроэнергии хозяйствующими субъектами в границах балансовой принадлежности;</w:t>
      </w:r>
    </w:p>
    <w:bookmarkEnd w:id="412"/>
    <w:bookmarkStart w:name="637601868" w:id="4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контроля за соблюдением потребителями заданных им режимов потребления и баланса электроэнергии.</w:t>
      </w:r>
    </w:p>
    <w:bookmarkEnd w:id="413"/>
    <w:bookmarkStart w:name="637601869" w:id="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 Контроль мощности обеспечивает измерение (в режиме реального времени, с заданным интервалом), накопление, хранение и передачу на верхний уровень управления информации об активной мощности:</w:t>
      </w:r>
    </w:p>
    <w:bookmarkEnd w:id="414"/>
    <w:bookmarkStart w:name="637601870" w:id="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вырабатываемой генераторами электростанций;</w:t>
      </w:r>
    </w:p>
    <w:bookmarkEnd w:id="415"/>
    <w:bookmarkStart w:name="637601871" w:id="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потребляемой на собственные и хозяйственные нужды электростанций и подстанций;</w:t>
      </w:r>
    </w:p>
    <w:bookmarkEnd w:id="416"/>
    <w:bookmarkStart w:name="637601872" w:id="4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отпускаемой непосредственно оптовым покупателям и потребителям по линиям, отходящим от шин электростанции непосредственно к потребителям;</w:t>
      </w:r>
    </w:p>
    <w:bookmarkEnd w:id="417"/>
    <w:bookmarkStart w:name="637601873" w:id="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передаваемой в другие энергосистемы и государства или полученной от них;</w:t>
      </w:r>
    </w:p>
    <w:bookmarkEnd w:id="418"/>
    <w:bookmarkStart w:name="637601874" w:id="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отпускаемой непосредственно оптовым покупателям и потребителям из электрической сети.</w:t>
      </w:r>
    </w:p>
    <w:bookmarkEnd w:id="419"/>
    <w:bookmarkStart w:name="637601875" w:id="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 Учет реактивной электроэнергии обеспечивает возможность определения количества реактивной электроэнергии, полученной потребителем от электроснабжающей организации или переданной ей, если по этим данным производятся расчеты или контроль соблюдения заданного режима работы компенсирующих устройств.</w:t>
      </w:r>
    </w:p>
    <w:bookmarkEnd w:id="420"/>
    <w:bookmarkStart w:name="637601876" w:id="421"/>
    <w:p>
      <w:pPr>
        <w:spacing w:before="120" w:after="120" w:line="240"/>
        <w:ind w:left="0"/>
        <w:jc w:val="center"/>
      </w:pPr>
      <w:r>
        <w:rPr>
          <w:rFonts w:hint="default" w:ascii="Times New Roman" w:hAnsi="Times New Roman"/>
          <w:b/>
          <w:i w:val="false"/>
          <w:color w:val="000000"/>
          <w:sz w:val="24"/>
        </w:rPr>
        <w:t>Параграф 2. Пункты установки средств учета электроэнергии</w:t>
      </w:r>
    </w:p>
    <w:bookmarkEnd w:id="421"/>
    <w:bookmarkStart w:name="637601877" w:id="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 Коммерческие счетчики (в том числе входящие в состав систем коммерческого учета) необходимо устанавливать на границе раздела сети электроснабжающей организации и потребителя и в точках купли – продажи электроэнергии субъектами рынка электроэнергии.</w:t>
      </w:r>
    </w:p>
    <w:bookmarkEnd w:id="422"/>
    <w:bookmarkStart w:name="637601878" w:id="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 Коммерческие счетчики активной электроэнергии на электростанции должны устанавливаться:</w:t>
      </w:r>
    </w:p>
    <w:bookmarkEnd w:id="423"/>
    <w:bookmarkStart w:name="637601879" w:id="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каждого генератора с таким расчетом, чтобы учитывалась вся выработанная генератором электроэнергия;</w:t>
      </w:r>
    </w:p>
    <w:bookmarkEnd w:id="424"/>
    <w:bookmarkStart w:name="637601880" w:id="4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всех присоединений шин генераторного напряжения, по которым возможно изменение направления потока электроэнергии, – двунаправленный счетчик электроэнергии;</w:t>
      </w:r>
    </w:p>
    <w:bookmarkEnd w:id="425"/>
    <w:bookmarkStart w:name="637601881" w:id="4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межсистемных и межгосударственных линий электропередачи – двунаправленный счетчик электроэнергии, учитывающий отпущенную и полученную электроэнергию;</w:t>
      </w:r>
    </w:p>
    <w:bookmarkEnd w:id="426"/>
    <w:bookmarkStart w:name="637601882" w:id="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линий всех классов напряжений, отходящих от шин электростанций и принадлежащих потребителям.</w:t>
      </w:r>
    </w:p>
    <w:bookmarkEnd w:id="427"/>
    <w:bookmarkStart w:name="637601883" w:id="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до 10 кВ, отходящих от шин электростанций, необходимо выполнить цепи учета, сборки зажимов, а также предусмотреть места для установки счетчиков;</w:t>
      </w:r>
    </w:p>
    <w:bookmarkEnd w:id="428"/>
    <w:bookmarkStart w:name="637601884" w:id="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для всех трансформаторов и линий, питающих шины основного напряжения (выше 1 кВ) собственных нужд (СН).</w:t>
      </w:r>
    </w:p>
    <w:bookmarkEnd w:id="429"/>
    <w:bookmarkStart w:name="637601885" w:id="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Счетчики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счетчиков на стороне низшего напряжения трансформаторов;</w:t>
      </w:r>
    </w:p>
    <w:bookmarkEnd w:id="430"/>
    <w:bookmarkStart w:name="637601886" w:id="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для линий хозяйственных нужд и посторонних потребителей, присоединенных к распределительному устройству СН электростанций;</w:t>
      </w:r>
    </w:p>
    <w:bookmarkEnd w:id="431"/>
    <w:bookmarkStart w:name="637601887" w:id="4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p>
    <w:bookmarkEnd w:id="432"/>
    <w:bookmarkStart w:name="637601888" w:id="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электростанциях, оборудуемых автоматизированными системами коммерческого учета, указанные системы используются как для централизованного коммерческого, так и для технического учета электроэнергии.</w:t>
      </w:r>
    </w:p>
    <w:bookmarkEnd w:id="433"/>
    <w:bookmarkStart w:name="637601889" w:id="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 На электростанциях мощностью до 1 МВт коммерческие счетчики активной электроэнергии разрешается устанавливать для генераторов и трансформаторов СН или для генераторов и отходящих линий.</w:t>
      </w:r>
    </w:p>
    <w:bookmarkEnd w:id="434"/>
    <w:bookmarkStart w:name="637601890" w:id="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 Коммерческие счетчики активной электроэнергии на подстанции энергосистемы устанавливаются:</w:t>
      </w:r>
    </w:p>
    <w:bookmarkEnd w:id="435"/>
    <w:bookmarkStart w:name="637601891" w:id="4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каждой отходящей линии электропередачи, принадлежащей потребителям;</w:t>
      </w:r>
    </w:p>
    <w:bookmarkEnd w:id="436"/>
    <w:bookmarkStart w:name="637601892" w:id="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межсистемных линий электропередачи – двунаправленный счетчик электроэнергии, учитывающий отпущенную и полученную электроэнергию, при наличии ответвлений от этих линии в другие энергосистемы – двунаправленный счетчик электроэнергии, учитывающий полученную и отпущенную электроэнергию, на вводах в подстанции этих энергосистем;</w:t>
      </w:r>
    </w:p>
    <w:bookmarkEnd w:id="437"/>
    <w:bookmarkStart w:name="637601893" w:id="4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трансформаторах СН;</w:t>
      </w:r>
    </w:p>
    <w:bookmarkEnd w:id="438"/>
    <w:bookmarkStart w:name="637601894" w:id="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линии хозяйственных нужд или посторонних потребителей (поселок), присоединенных к шинам СН;</w:t>
      </w:r>
    </w:p>
    <w:bookmarkEnd w:id="439"/>
    <w:bookmarkStart w:name="637601895" w:id="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p>
    <w:bookmarkEnd w:id="440"/>
    <w:bookmarkStart w:name="637601896" w:id="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до 10 кВ во всех случаях должны быть выполнены цепи учета, сборки зажимов, а также предусмотрены места для установки счетчиков.</w:t>
      </w:r>
    </w:p>
    <w:bookmarkEnd w:id="441"/>
    <w:bookmarkStart w:name="637601897" w:id="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 Коммерческие счетчики активной электроэнергии на подстанции, принадлежащей потребителю, устанавливаюся:</w:t>
      </w:r>
    </w:p>
    <w:bookmarkEnd w:id="442"/>
    <w:bookmarkStart w:name="637601898" w:id="4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вводе (приемном конце) линии электропередачи в подстанцию потребителя при отсутствии электрической связи с другой подстанцией энергосистемы или другого потребителя на питающем напряжении;</w:t>
      </w:r>
    </w:p>
    <w:bookmarkEnd w:id="443"/>
    <w:bookmarkStart w:name="637601899" w:id="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p>
    <w:bookmarkEnd w:id="444"/>
    <w:bookmarkStart w:name="637601900" w:id="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счетчиков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bookmarkEnd w:id="445"/>
    <w:bookmarkStart w:name="637601901" w:id="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когда установка дополнительных комплектов трансформаторов тока со стороны низшего напряжения силовых трансформаторов для включения коммерческих счетчиков невозможна (КРУ, КРУН) допускается организация учета на отходящих линиях 6–10 кВ.</w:t>
      </w:r>
    </w:p>
    <w:bookmarkEnd w:id="446"/>
    <w:bookmarkStart w:name="637601902" w:id="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у потребителя двух или более пунктов учета, а также при суммарной потребляемой мощности более 1 МВт необходимо применять автоматизированную систему коммерческого учета электроэнергии;</w:t>
      </w:r>
    </w:p>
    <w:bookmarkEnd w:id="447"/>
    <w:bookmarkStart w:name="637601903" w:id="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p>
    <w:bookmarkEnd w:id="448"/>
    <w:bookmarkStart w:name="637601904" w:id="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 трансформаторах СН, если электроэнергия, отпущенная на собственные нужды, не учитывается другими счетчиками при этом, счетчики необходимо устанавливать со стороны низшего напряжения;</w:t>
      </w:r>
    </w:p>
    <w:bookmarkEnd w:id="449"/>
    <w:bookmarkStart w:name="637601905" w:id="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на границе раздела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bookmarkEnd w:id="450"/>
    <w:bookmarkStart w:name="637601906" w:id="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потребителей каждой тарификационной группы устанавливаются отдельные коммерческие счетчики.</w:t>
      </w:r>
    </w:p>
    <w:bookmarkEnd w:id="451"/>
    <w:bookmarkStart w:name="637601907" w:id="4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 При применении для коммерческого учета коммерческих счетчиков, одновременно учитывающих активную и реактивную энергию, установка отдельных счетчиков реактивной энергии не требуется.</w:t>
      </w:r>
    </w:p>
    <w:bookmarkEnd w:id="452"/>
    <w:bookmarkStart w:name="637601908" w:id="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для коммерческого учета активной энергии микропроцессорных счетчиков, одновременно учитывающих реактивную энергию, установка отдельных счетчиков реактивной энергии не требуется. В остальных случаях счетчики реактивной электроэнергии устанавливаются:</w:t>
      </w:r>
    </w:p>
    <w:bookmarkEnd w:id="453"/>
    <w:bookmarkStart w:name="637601909" w:id="4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тех же элементах схемы, на которых установлены счетчики активной электроэнергии для потребителей, рассчитывающихся за электроэнергию с учетом разрешенной к использованию реактивной мощности;</w:t>
      </w:r>
    </w:p>
    <w:bookmarkEnd w:id="454"/>
    <w:bookmarkStart w:name="637601910" w:id="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p>
    <w:bookmarkEnd w:id="455"/>
    <w:bookmarkStart w:name="637601911" w:id="4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со стороны потребителя, с согласия энергосистемы производится выдача реактивной электроэнергии в сеть энергосистемы, устанавливается двунаправленный счетчик реактивной электроэнергии в тех элементах схемы, где установлен коммерческий счетчик активной электроэнергии. Во всех других случаях устанавливается нереверсивный счетчик реактивной электроэнергии.</w:t>
      </w:r>
    </w:p>
    <w:bookmarkEnd w:id="456"/>
    <w:bookmarkStart w:name="637601912" w:id="457"/>
    <w:p>
      <w:pPr>
        <w:spacing w:before="120" w:after="120" w:line="240"/>
        <w:ind w:left="0"/>
        <w:jc w:val="center"/>
      </w:pPr>
      <w:r>
        <w:rPr>
          <w:rFonts w:hint="default" w:ascii="Times New Roman" w:hAnsi="Times New Roman"/>
          <w:b/>
          <w:i w:val="false"/>
          <w:color w:val="000000"/>
          <w:sz w:val="24"/>
        </w:rPr>
        <w:t>Параграф 3. Требования к коммерческим счетчикам</w:t>
      </w:r>
    </w:p>
    <w:bookmarkEnd w:id="457"/>
    <w:bookmarkStart w:name="637601913" w:id="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 Счетчик электроэнергии, используемый в качестве коммерческого, должен быть сертифицирован и включен в реестр Государственной системы обеспечения единства измерений Республики Казахстан.</w:t>
      </w:r>
    </w:p>
    <w:bookmarkEnd w:id="458"/>
    <w:bookmarkStart w:name="637601914" w:id="4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Каждый установленный коммерческий счетчик должен иметь на устройстве крепления кожуха, пломбы с клеймом поверителя, а на зажимной крышке или другом устройстве, исключающем доступ к ряду зажимов электросчетчика, пломбу электроснабжающей и (или) энергопередающей организации.</w:t>
      </w:r>
    </w:p>
    <w:bookmarkEnd w:id="459"/>
    <w:bookmarkStart w:name="637601915" w:id="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вновь устанавливаемых счетчиках должны быть пломбы поверки с давностью не более 12 месяцев.</w:t>
      </w:r>
    </w:p>
    <w:bookmarkEnd w:id="460"/>
    <w:bookmarkStart w:name="637601916" w:id="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 Учет активной и реактивной электроэнергии трехфазного тока должен производиться с помощью трехфазных счетчиков.</w:t>
      </w:r>
    </w:p>
    <w:bookmarkEnd w:id="461"/>
    <w:bookmarkStart w:name="637601917" w:id="4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 Класс точности счетчиков коммерческого учета активной и реактивной электроэнергии для различных объектов учета приведены в таблице 37 приложения к настоящим Правилам.</w:t>
      </w:r>
    </w:p>
    <w:bookmarkEnd w:id="462"/>
    <w:bookmarkStart w:name="637601918" w:id="4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Общая погрешность комплекса коммерческого учета, включая погрешности счетчиков, трансформаторов тока и напряжения, с учетом падения напряжения в проводах в соответствии с пунктами 94–103 настоящих Правил, коэффициента мощности нагрузки, должна быть не более приведенной в таблице 38 приложения к настоящим Правилам.</w:t>
      </w:r>
    </w:p>
    <w:bookmarkEnd w:id="463"/>
    <w:bookmarkStart w:name="637601919" w:id="464"/>
    <w:p>
      <w:pPr>
        <w:spacing w:before="120" w:after="120" w:line="240"/>
        <w:ind w:left="0"/>
        <w:jc w:val="center"/>
      </w:pPr>
      <w:r>
        <w:rPr>
          <w:rFonts w:hint="default" w:ascii="Times New Roman" w:hAnsi="Times New Roman"/>
          <w:b/>
          <w:i w:val="false"/>
          <w:color w:val="000000"/>
          <w:sz w:val="24"/>
        </w:rPr>
        <w:t>Параграф 4. Учет с применением измерительных трансформаторов</w:t>
      </w:r>
    </w:p>
    <w:bookmarkEnd w:id="464"/>
    <w:bookmarkStart w:name="637601920" w:id="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 Класс точности трансформаторов тока и напряжения для присоединения счетчиков коммерческого учета электроэнергии должен быть не ниже приведенного в таблице 39 приложения к настоящим Правилам.</w:t>
      </w:r>
    </w:p>
    <w:bookmarkEnd w:id="465"/>
    <w:bookmarkStart w:name="637601921" w:id="4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присоединения измерительных приборов, счетчиков технического учета необходимо использовать трансформаторы тока и напряжения класса точности 0,5.</w:t>
      </w:r>
    </w:p>
    <w:bookmarkEnd w:id="466"/>
    <w:bookmarkStart w:name="637601922" w:id="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счетчика, а при минимальной рабочей нагрузке – не менее 5%.</w:t>
      </w:r>
    </w:p>
    <w:bookmarkEnd w:id="467"/>
    <w:bookmarkStart w:name="637601923" w:id="4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 Присоединение токовых обмоток счетчиков к вторичным обмоткам трансформаторов тока проводится отдельно от цепей защиты и совместно с электроизмерительными приборами.</w:t>
      </w:r>
    </w:p>
    <w:bookmarkEnd w:id="468"/>
    <w:bookmarkStart w:name="637601924" w:id="4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зашиты.</w:t>
      </w:r>
    </w:p>
    <w:bookmarkEnd w:id="469"/>
    <w:bookmarkStart w:name="637601925" w:id="4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Использование промежуточных трансформаторов тока для включения коммерческих счетчиков не допускается.</w:t>
      </w:r>
    </w:p>
    <w:bookmarkEnd w:id="470"/>
    <w:bookmarkStart w:name="637601926" w:id="4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 Нагрузка вторичных обмоток измерительных трансформаторов, к которым присоединяются счетчики, не должна превышать номинальных значений.</w:t>
      </w:r>
    </w:p>
    <w:bookmarkEnd w:id="471"/>
    <w:bookmarkStart w:name="637601927" w:id="4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Сечение и длина проводов и кабелей в цепях напряжения коммерческих счетчиков должны выбираться такими, чтобы потери напряжения в этих цепях составляли не более 0,25 % номинального напряжения при питании от трансформаторов напряжения класса точности 0,5 и не более 0,5 %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p>
    <w:bookmarkEnd w:id="472"/>
    <w:bookmarkStart w:name="637601928" w:id="4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Потери напряжения от трансформаторов напряжения до счетчиков технического учета должны составлять не более 0,5 % номинального напряжения.</w:t>
      </w:r>
    </w:p>
    <w:bookmarkEnd w:id="473"/>
    <w:bookmarkStart w:name="637601929" w:id="4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Счетчики электрической энергии межгосударственных ВЛ, ВЛ 110 кВ и выше, генераторов, трансформаторов 10 МВ*А и выше должны быть подключены к трансформаторам напряжения отдельными кабелями (на группу счетчиков данной секции РУ или отдельный кабель для счетчиков каждого присоединения).</w:t>
      </w:r>
    </w:p>
    <w:bookmarkEnd w:id="474"/>
    <w:bookmarkStart w:name="637601930" w:id="4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 Для присоединения коммерческих счетчиков на линиях электропередачи 110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w:t>
      </w:r>
    </w:p>
    <w:bookmarkEnd w:id="475"/>
    <w:bookmarkStart w:name="637601931" w:id="4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 Для питания цепей счетчиков могут применяться как однофазные, так и трехфазные трансформаторы напряжения, в том числе четырех- и пятистержневые, применяемые для контроля изоляции.</w:t>
      </w:r>
    </w:p>
    <w:bookmarkEnd w:id="476"/>
    <w:bookmarkStart w:name="637601932" w:id="4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Цепи учета выводятся на самостоятельные сборки зажимов или секции в общем ряду зажимов. При отсутствии сборок с зажимами необходимо устанавливать испытательные блоки.</w:t>
      </w:r>
    </w:p>
    <w:bookmarkEnd w:id="477"/>
    <w:bookmarkStart w:name="637601933" w:id="4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Зажимы должны обеспечивать закорачивание вторичных цепей трансформаторов тока, отключение токовых цепей счетчика и цепей напряжения в каждой фазе счетчиков при их замене или проверке, а также включение образцового счетчика без отсоединения проводов и кабелей.</w:t>
      </w:r>
    </w:p>
    <w:bookmarkEnd w:id="478"/>
    <w:bookmarkStart w:name="637601934" w:id="4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Конструкция сборок и коробок зажимов коммерческих счетчиков должна обеспечивать возможность их пломбирования.</w:t>
      </w:r>
    </w:p>
    <w:bookmarkEnd w:id="479"/>
    <w:bookmarkStart w:name="637601935" w:id="4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 Трансформаторы напряжения, используемые для учета и защищенные на стороне высшего напряжения предохранителями, должны иметь контроль целости предохранителей.</w:t>
      </w:r>
    </w:p>
    <w:bookmarkEnd w:id="480"/>
    <w:bookmarkStart w:name="637601936" w:id="4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счетчиков каждого присоединения на трансформаторы напряжения соответствующих систем шин.</w:t>
      </w:r>
    </w:p>
    <w:bookmarkEnd w:id="481"/>
    <w:bookmarkStart w:name="637601937" w:id="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 Конструкция решеток и дверей камер подстанции, в которых установлены предохранители на стороне высшего напряжения трансформаторов напряжения, используемых для коммерческого учета, должна обеспечивать возможность их пломбирования.</w:t>
      </w:r>
    </w:p>
    <w:bookmarkEnd w:id="482"/>
    <w:bookmarkStart w:name="637601938" w:id="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Рукоятки приводов разъединителей трансформаторов напряжения, используемых для коммерческого учета, должны иметь приспособления для их пломбирования.</w:t>
      </w:r>
    </w:p>
    <w:bookmarkEnd w:id="483"/>
    <w:bookmarkStart w:name="637601939" w:id="484"/>
    <w:p>
      <w:pPr>
        <w:spacing w:before="120" w:after="120" w:line="240"/>
        <w:ind w:left="0"/>
        <w:jc w:val="center"/>
      </w:pPr>
      <w:r>
        <w:rPr>
          <w:rFonts w:hint="default" w:ascii="Times New Roman" w:hAnsi="Times New Roman"/>
          <w:b/>
          <w:i w:val="false"/>
          <w:color w:val="000000"/>
          <w:sz w:val="24"/>
        </w:rPr>
        <w:t>Параграф 5. Установка счетчиков и электропроводка к ним</w:t>
      </w:r>
    </w:p>
    <w:bookmarkEnd w:id="484"/>
    <w:bookmarkStart w:name="637601940" w:id="485"/>
    <w:p>
      <w:pPr>
        <w:spacing w:before="120" w:after="120" w:line="240"/>
        <w:ind w:left="0"/>
        <w:jc w:val="both"/>
      </w:pPr>
      <w:r>
        <w:rPr>
          <w:rFonts w:hint="default" w:ascii="Times New Roman" w:hAnsi="Times New Roman"/>
          <w:b w:val="false"/>
          <w:i w:val="false"/>
          <w:color w:val="000000"/>
          <w:sz w:val="24"/>
        </w:rPr>
        <w:t>104. Счетчики должны размещаться в легко доступных для обслуживания сухих помещениях, в достаточно свободном и не стесненном для работы месте с температурой в зимнее время не ниже 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485"/>
    <w:bookmarkStart w:name="637601941" w:id="486"/>
    <w:p>
      <w:pPr>
        <w:spacing w:before="120" w:after="120" w:line="240"/>
        <w:ind w:left="0"/>
        <w:jc w:val="both"/>
      </w:pPr>
      <w:r>
        <w:rPr>
          <w:rFonts w:hint="default" w:ascii="Times New Roman" w:hAnsi="Times New Roman"/>
          <w:b w:val="false"/>
          <w:i w:val="false"/>
          <w:color w:val="000000"/>
          <w:sz w:val="24"/>
        </w:rPr>
        <w:t>Счетчики общепромышленного исполнения не разрешается устанавливать в помещениях, где по производственным условиям температура часто превышается до +40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а также в помещениях с агрессивными средами.</w:t>
      </w:r>
    </w:p>
    <w:bookmarkEnd w:id="486"/>
    <w:bookmarkStart w:name="637601942" w:id="487"/>
    <w:p>
      <w:pPr>
        <w:spacing w:before="120" w:after="120" w:line="240"/>
        <w:ind w:left="0"/>
        <w:jc w:val="both"/>
      </w:pPr>
      <w:r>
        <w:rPr>
          <w:rFonts w:hint="default" w:ascii="Times New Roman" w:hAnsi="Times New Roman"/>
          <w:b w:val="false"/>
          <w:i w:val="false"/>
          <w:color w:val="000000"/>
          <w:sz w:val="24"/>
        </w:rPr>
        <w:t>Допускается размещение счетчиков в неотапливаемых помещениях и коридорах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электрической лампой или нагревательным элементом для обеспечения внутри колпака положительной температуры, но не выше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487"/>
    <w:bookmarkStart w:name="637601943" w:id="4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 Счетчики общепромышленного исполнения, предназначенные для учета электроэнергии, устанавливаются в помещениях с температурой окружающей среды, находящейся в диапазоне, обозначенном заводом-изготовителем. При отсутствии таких помещений счетчики помещаются в специальных шкафах, где должна поддерживаться необходимая температура в течение всего года.</w:t>
      </w:r>
    </w:p>
    <w:bookmarkEnd w:id="488"/>
    <w:bookmarkStart w:name="637601944" w:id="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 Счетчики должны устанавливаться в шкафах, камерах комплектных распределительных устройствах (КРУ, КРУН), на панелях, щитах, в нишах, на стенах, имеющих жесткую конструкцию.</w:t>
      </w:r>
    </w:p>
    <w:bookmarkEnd w:id="489"/>
    <w:bookmarkStart w:name="637601945" w:id="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крепление счетчиков на пластмассовых или металлических щитках.</w:t>
      </w:r>
    </w:p>
    <w:bookmarkEnd w:id="490"/>
    <w:bookmarkStart w:name="637601946" w:id="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Высота от пола до коробки зажимов счетчиков должна быть в пределах 0,8–1,7 м. Допускается высота менее 0,8 м, но не менее 0,4 м.</w:t>
      </w:r>
    </w:p>
    <w:bookmarkEnd w:id="491"/>
    <w:bookmarkStart w:name="637601947" w:id="4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 В местах, где имеется опасность механических повреждений счетчиков или их загрязнения, или в местах, доступных для посторонних лиц (проходы, лестничные клетки), для счетчиков должен предусматриваться запирающийся шкаф с окошком на уровне циферблата. Аналогичные шкафы должны устанавливаться также для совместного размещения счетчиков и трансформаторов тока при выполнении учета на стороне низшего напряжения (на вводе у потребителей).</w:t>
      </w:r>
    </w:p>
    <w:bookmarkEnd w:id="492"/>
    <w:bookmarkStart w:name="637601948" w:id="493"/>
    <w:p>
      <w:pPr>
        <w:spacing w:before="120" w:after="120" w:line="240"/>
        <w:ind w:left="0"/>
        <w:jc w:val="both"/>
      </w:pPr>
      <w:r>
        <w:rPr>
          <w:rFonts w:hint="default" w:ascii="Times New Roman" w:hAnsi="Times New Roman"/>
          <w:b w:val="false"/>
          <w:i w:val="false"/>
          <w:color w:val="000000"/>
          <w:sz w:val="24"/>
        </w:rPr>
        <w:t>108. Конструкции и размеры шкафов, ниш, щитков должны обеспечивать удобный доступ к зажимам счетчиков и трансформаторов тока. Должна быть обеспечена возможность удобной замены счетчика и установки его с уклоном не более 1</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Конструкция его крепления должна обеспечивать возможность установки и съема счетчика с лицевой стороны.</w:t>
      </w:r>
    </w:p>
    <w:bookmarkEnd w:id="493"/>
    <w:bookmarkStart w:name="637601949" w:id="4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 Электропроводки к счетчикам должны отвечать требованиям, приведенным в параграфе 2 главы 15 настоящих Правил.</w:t>
      </w:r>
    </w:p>
    <w:bookmarkEnd w:id="494"/>
    <w:bookmarkStart w:name="637601950" w:id="4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 В электропроводке к расчетным счетчикам наличие паек не допускается.</w:t>
      </w:r>
    </w:p>
    <w:bookmarkEnd w:id="495"/>
    <w:bookmarkStart w:name="637601951" w:id="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 Сечения проводов и кабелей, присоединяемых к счетчикам, должны приниматься в соответствии с пунктом 837 настоящих Правил.</w:t>
      </w:r>
    </w:p>
    <w:bookmarkEnd w:id="496"/>
    <w:bookmarkStart w:name="637601952" w:id="4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 При монтаже электропроводки для присоединения счетчиков непосредственного включения около счетчиков необходимо оставлять концы проводов длиной не менее 120 мм. Изоляция или оболочка нулевого провода на длине 100 мм перед счетчиком должна иметь отличительную окраску.</w:t>
      </w:r>
    </w:p>
    <w:bookmarkEnd w:id="497"/>
    <w:bookmarkStart w:name="637601953" w:id="4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 Для безопасной установки и замены счетчиков в сетях напряжением до 380 В должна предусматриваться возможность отключения счетчика установленными до него на расстоянии не более 10 м коммутационным аппаратом или предохранителями.</w:t>
      </w:r>
    </w:p>
    <w:bookmarkEnd w:id="498"/>
    <w:bookmarkStart w:name="637601954" w:id="4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Снятие напряжения должно предусматриваться со всех фаз, присоединяемых к счетчику.</w:t>
      </w:r>
    </w:p>
    <w:bookmarkEnd w:id="499"/>
    <w:bookmarkStart w:name="637601955" w:id="5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p>
    <w:bookmarkEnd w:id="500"/>
    <w:bookmarkStart w:name="637601956" w:id="5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 Заземление (зануление) счетчиков и трансформаторов тока должно выполняться в соответствии с требованиями параграфа 2 главы 7 настоящих Правил. При этом, заземляющие и нулевые защитные проводники от счетчиков и трансформаторов тока напряжением до 1 кВ до ближайшей сборки зажимов должны быть медными.</w:t>
      </w:r>
    </w:p>
    <w:bookmarkEnd w:id="501"/>
    <w:bookmarkStart w:name="637601957" w:id="5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 При наличии на объекте нескольких присоединений с отдельным учетом электроэнергии на панелях счетчиков должны быть надписи наименований присоединений.</w:t>
      </w:r>
    </w:p>
    <w:bookmarkEnd w:id="502"/>
    <w:bookmarkStart w:name="637601958" w:id="503"/>
    <w:p>
      <w:pPr>
        <w:spacing w:before="120" w:after="120" w:line="240"/>
        <w:ind w:left="0"/>
        <w:jc w:val="center"/>
      </w:pPr>
      <w:r>
        <w:rPr>
          <w:rFonts w:hint="default" w:ascii="Times New Roman" w:hAnsi="Times New Roman"/>
          <w:b/>
          <w:i w:val="false"/>
          <w:color w:val="000000"/>
          <w:sz w:val="24"/>
        </w:rPr>
        <w:t>Параграф 6. Технический учет</w:t>
      </w:r>
    </w:p>
    <w:bookmarkEnd w:id="503"/>
    <w:bookmarkStart w:name="637601959" w:id="5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 На тепловых и атомных электростанциях с агрегатами (блоками), не оборудованными информационными или управляющими вычислительными комплексами, устанавливаются стационарные или применять инвентарные переносные счетчики технического учета в системе СП для возможности расчетов технико-экономических показателей. При этом, установка счетчиков активной электроэнергии должна производиться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bookmarkEnd w:id="504"/>
    <w:bookmarkStart w:name="637601960" w:id="5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 На электростанциях с поперечными связями (имеющих общий паропровод) должна предусматриваться на стороне генераторного напряжения повышающих трансформаторов техническая возможность установки (в условиях эксплуатации) счетчиков технического учета активной электроэнергии, используемых для контроля правильности работы коммерческих генераторных счетчиков.</w:t>
      </w:r>
    </w:p>
    <w:bookmarkEnd w:id="505"/>
    <w:bookmarkStart w:name="637601961" w:id="5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 Счетчики активной электроэнергии для технического учета устанавливаются на подстанциях напряжением 35 кВ и выше: на сторонах среднего и низшего напряжений силовых трансформаторов на каждой отходящей линии электропередачи 6 кВ и выше, находящейся на балансе энергопередающей организации.</w:t>
      </w:r>
    </w:p>
    <w:bookmarkEnd w:id="506"/>
    <w:bookmarkStart w:name="637601962" w:id="5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Технический учет реактивной электроэнергии организовывается на сторонах среднего и низшего напряжений силовых трансформаторов подстанций 35 кВ и выше. При применении для учета активной электроэнергии микропроцессорных счетчиков установка отдельных счетчиков реактивной энергии не требуется.</w:t>
      </w:r>
    </w:p>
    <w:bookmarkEnd w:id="507"/>
    <w:bookmarkStart w:name="637601963" w:id="5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 На предприятиях предусматривается техническая возможность установки (в условиях эксплуатации) стационарных или применения инвентарных переносных счетчиков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bookmarkEnd w:id="508"/>
    <w:bookmarkStart w:name="637601964" w:id="5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счетчиков технического (контрольного) учета на вводе предприятия, если коммерческий учет с этим предприятием ведется по счетчикам, установленным на подстанциях или электростанциях энергоснабжающей организации.</w:t>
      </w:r>
    </w:p>
    <w:bookmarkEnd w:id="509"/>
    <w:bookmarkStart w:name="637601965" w:id="5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установку и снятие счетчиков технического учета на предприятиях разрешения энергоснабжающей организации не требуется.</w:t>
      </w:r>
    </w:p>
    <w:bookmarkEnd w:id="510"/>
    <w:bookmarkStart w:name="637601966" w:id="5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 Приборы технического учета на предприятиях (счетчики и измерительные трансформаторы) должны находиться в ведении самих потребителей и должны соответствовать требованиям пункта 91 (за исключением требования о наличии пломбы энергопередающей организации), 92 и 93 настоящих Правил.</w:t>
      </w:r>
    </w:p>
    <w:bookmarkEnd w:id="511"/>
    <w:bookmarkStart w:name="637601967" w:id="5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 Класс точности счетчиков и приборов технического учета активной электроэнергии должен быть не более 0,5. Для электроустановок мощностью менее 1 МВ*А допускается использование приборов технического учета класса точности 1,0.</w:t>
      </w:r>
    </w:p>
    <w:bookmarkEnd w:id="512"/>
    <w:bookmarkStart w:name="637601968" w:id="5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Классы точности счетчиков и приборов технического учета реактивной электроэнергии допускается выбирать на одну ступень ниже соответствующего класса точности счетчиков коммерческого учета активной электроэнергии.</w:t>
      </w:r>
    </w:p>
    <w:bookmarkEnd w:id="513"/>
    <w:bookmarkStart w:name="637601969" w:id="514"/>
    <w:p>
      <w:pPr>
        <w:spacing w:before="120" w:after="120" w:line="240"/>
        <w:ind w:left="0"/>
        <w:jc w:val="both"/>
      </w:pPr>
      <w:r>
        <w:rPr>
          <w:rFonts w:hint="default" w:ascii="Times New Roman" w:hAnsi="Times New Roman"/>
          <w:b/>
          <w:i w:val="false"/>
          <w:color w:val="000000"/>
          <w:sz w:val="24"/>
        </w:rPr>
        <w:t>6. Измерения электрических величин</w:t>
      </w:r>
    </w:p>
    <w:bookmarkEnd w:id="514"/>
    <w:bookmarkStart w:name="637601970" w:id="515"/>
    <w:p>
      <w:pPr>
        <w:spacing w:before="120" w:after="120" w:line="240"/>
        <w:ind w:left="0"/>
        <w:jc w:val="center"/>
      </w:pPr>
      <w:r>
        <w:rPr>
          <w:rFonts w:hint="default" w:ascii="Times New Roman" w:hAnsi="Times New Roman"/>
          <w:b/>
          <w:i w:val="false"/>
          <w:color w:val="000000"/>
          <w:sz w:val="24"/>
        </w:rPr>
        <w:t>Параграф 1. Общие требования</w:t>
      </w:r>
    </w:p>
    <w:bookmarkEnd w:id="515"/>
    <w:bookmarkStart w:name="637601971" w:id="5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 Все средства измерений должны быть разрешены к применению в Республике Казахстан в установленном законом порядке. Средства измерений электрических величин должны удовлетворять следующим основным требованиям:</w:t>
      </w:r>
    </w:p>
    <w:bookmarkEnd w:id="516"/>
    <w:bookmarkStart w:name="637601972" w:id="5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класс точности измерительных приборов должен быть не более 2,5;</w:t>
      </w:r>
    </w:p>
    <w:bookmarkEnd w:id="517"/>
    <w:bookmarkStart w:name="637601973" w:id="5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классы точности измерительных шунтов, добавочных резисторов, трансформаторов и преобразователей должны быть не более приведенных в таблице 40 приложения к настоящим Правилам;</w:t>
      </w:r>
    </w:p>
    <w:bookmarkEnd w:id="518"/>
    <w:bookmarkStart w:name="637601974" w:id="5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пределы измерения приборов должны выбираться с учетом возможных наибольших длительных отклонений измеряемых величин от номинальных значений.</w:t>
      </w:r>
    </w:p>
    <w:bookmarkEnd w:id="519"/>
    <w:bookmarkStart w:name="637601975" w:id="5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 Установка измерительных приборов должна производиться в пунктах, откуда осуществляется управление.</w:t>
      </w:r>
    </w:p>
    <w:bookmarkEnd w:id="520"/>
    <w:bookmarkStart w:name="637601976" w:id="5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p>
    <w:bookmarkEnd w:id="521"/>
    <w:bookmarkStart w:name="637601977" w:id="5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 Измерения на линиях электропередачи 110 кВ и выше, а также на генераторах и трансформаторах должны производиться непрерывно.</w:t>
      </w:r>
    </w:p>
    <w:bookmarkEnd w:id="522"/>
    <w:bookmarkStart w:name="637601978" w:id="5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p>
    <w:bookmarkEnd w:id="523"/>
    <w:bookmarkStart w:name="637601979" w:id="5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p>
    <w:bookmarkEnd w:id="524"/>
    <w:bookmarkStart w:name="637601980" w:id="5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bookmarkEnd w:id="525"/>
    <w:bookmarkStart w:name="637601981" w:id="5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 Измерение постоянного тока должно производиться в цепях:</w:t>
      </w:r>
    </w:p>
    <w:bookmarkEnd w:id="526"/>
    <w:bookmarkStart w:name="637601982" w:id="5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генераторов постоянного тока и силовых преобразователей;</w:t>
      </w:r>
    </w:p>
    <w:bookmarkEnd w:id="527"/>
    <w:bookmarkStart w:name="637601983" w:id="5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аккумуляторных батарей, зарядных, подзарядных и разрядных устройств;</w:t>
      </w:r>
    </w:p>
    <w:bookmarkEnd w:id="528"/>
    <w:bookmarkStart w:name="637601984" w:id="5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возбуждение синхронных генераторов, компенсаторов, а также электродвигателей с регулируемым возбуждением.</w:t>
      </w:r>
    </w:p>
    <w:bookmarkEnd w:id="529"/>
    <w:bookmarkStart w:name="637601985" w:id="5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Амперметры постоянного тока должны иметь двусторонние шкалы, если возможно изменение направления тока.</w:t>
      </w:r>
    </w:p>
    <w:bookmarkEnd w:id="530"/>
    <w:bookmarkStart w:name="637601986" w:id="5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 В цепях переменного трехфазного тока измеряется ток одной фазы.</w:t>
      </w:r>
    </w:p>
    <w:bookmarkEnd w:id="531"/>
    <w:bookmarkStart w:name="637601987" w:id="5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тока каждой фазы должно производиться:</w:t>
      </w:r>
    </w:p>
    <w:bookmarkEnd w:id="532"/>
    <w:bookmarkStart w:name="637601988" w:id="5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синхронных турбогенераторов мощностью 12 МВт и более;</w:t>
      </w:r>
    </w:p>
    <w:bookmarkEnd w:id="533"/>
    <w:bookmarkStart w:name="637601989" w:id="5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линий электропередачи с пофазным управлением, в обоснованных случаях, предусмотривается измерение тока каждой фазы линий электропередачи 220 кВ и выше с трехфазным управлением;</w:t>
      </w:r>
    </w:p>
    <w:bookmarkEnd w:id="534"/>
    <w:bookmarkStart w:name="637601990" w:id="5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дуговых электропечей.</w:t>
      </w:r>
    </w:p>
    <w:bookmarkEnd w:id="535"/>
    <w:bookmarkStart w:name="637601991" w:id="5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 Измерение напряжения должно производиться:</w:t>
      </w:r>
    </w:p>
    <w:bookmarkEnd w:id="536"/>
    <w:bookmarkStart w:name="637601992" w:id="5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секциях сборных шин постоянного и переменного тока, которые могут работать раздельно.</w:t>
      </w:r>
    </w:p>
    <w:bookmarkEnd w:id="537"/>
    <w:bookmarkStart w:name="637601993" w:id="5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одного прибора с переключением на несколько точек измерения.</w:t>
      </w:r>
    </w:p>
    <w:bookmarkEnd w:id="538"/>
    <w:bookmarkStart w:name="637601994" w:id="5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p>
    <w:bookmarkEnd w:id="539"/>
    <w:bookmarkStart w:name="637601995" w:id="5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p>
    <w:bookmarkEnd w:id="540"/>
    <w:bookmarkStart w:name="637601996" w:id="5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автоматизированном пуске генераторов или других агрегатов установка на них приборов для непрерывного измерения напряжения не обязательна;</w:t>
      </w:r>
    </w:p>
    <w:bookmarkEnd w:id="541"/>
    <w:bookmarkStart w:name="637601997" w:id="5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 цепях возбуждения синхронных машин мощностью 100 кВт и более. В цепях возбуждения гидрогенераторов измерение не обязательно;</w:t>
      </w:r>
    </w:p>
    <w:bookmarkEnd w:id="542"/>
    <w:bookmarkStart w:name="637601998" w:id="5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цепях силовых преобразователей, аккумуляторных батарей, зарядных и подзарядных устройств;</w:t>
      </w:r>
    </w:p>
    <w:bookmarkEnd w:id="543"/>
    <w:bookmarkStart w:name="637601999" w:id="5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 цепях дугогасящих реакторов.</w:t>
      </w:r>
    </w:p>
    <w:bookmarkEnd w:id="544"/>
    <w:bookmarkStart w:name="637602000" w:id="5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 В трехфазных сетях производится измерение одного междуфазного напряжения.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bookmarkEnd w:id="545"/>
    <w:bookmarkStart w:name="637602001" w:id="5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bookmarkEnd w:id="546"/>
    <w:bookmarkStart w:name="637602002" w:id="5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 В сетях переменного тока выше 1 кВ с изолированной или заземленной 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bookmarkEnd w:id="547"/>
    <w:bookmarkStart w:name="637602003" w:id="5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осуществлять контроль изоляции путем периодических измерений напряжений с целью визуального контроля асимметрии напряжения.</w:t>
      </w:r>
    </w:p>
    <w:bookmarkEnd w:id="548"/>
    <w:bookmarkStart w:name="637602004" w:id="5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 Измерение мощности должно производиться в соответствии с пунктом 122 настоящих Правил, в цепях:</w:t>
      </w:r>
    </w:p>
    <w:bookmarkEnd w:id="549"/>
    <w:bookmarkStart w:name="637602005" w:id="5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генераторов активной и реактивной мощности.</w:t>
      </w:r>
    </w:p>
    <w:bookmarkEnd w:id="550"/>
    <w:bookmarkStart w:name="637602006" w:id="5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на генераторах мощностью 50 МВт и более щитовых показывающих приборов их класс точности должен быть не более 1,0.</w:t>
      </w:r>
    </w:p>
    <w:bookmarkEnd w:id="551"/>
    <w:bookmarkStart w:name="637602007" w:id="5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электростанциях необходимо измерять суммарную активную мощность при необходимости автоматической передачи этого параметра на вышестоящий уровень оперативного управления;</w:t>
      </w:r>
    </w:p>
    <w:bookmarkEnd w:id="552"/>
    <w:bookmarkStart w:name="637602008" w:id="5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конденсаторных батарей мощностью 25 МВАр и более и синхронных компенсаторов – реактивной мощности;</w:t>
      </w:r>
    </w:p>
    <w:bookmarkEnd w:id="553"/>
    <w:bookmarkStart w:name="637602009" w:id="5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трансформаторов и линий, питающих СН напряжением 6 кВ и выше тепловых электростанций, – активной мощности;</w:t>
      </w:r>
    </w:p>
    <w:bookmarkEnd w:id="554"/>
    <w:bookmarkStart w:name="637602010" w:id="5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 и низшего напряжений.</w:t>
      </w:r>
    </w:p>
    <w:bookmarkEnd w:id="555"/>
    <w:bookmarkStart w:name="637602011" w:id="5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трансформатора, работающего в блоке с генератором, измерение мощности со стороны низшего напряжения производится в цепи генератора;</w:t>
      </w:r>
    </w:p>
    <w:bookmarkEnd w:id="556"/>
    <w:bookmarkStart w:name="637602012" w:id="5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понижающих трансформаторов 110 кВ и выше – активной и реактивной мощности.</w:t>
      </w:r>
    </w:p>
    <w:bookmarkEnd w:id="557"/>
    <w:bookmarkStart w:name="637602013" w:id="5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цепях понижающих двухобмоточных трансформаторов измерение мощности должно производиться со стороны высшего и низшего напряжения, в цепях понижающих трехобмоточных трансформаторов – со стороны, среднего и низшего, а при необходимости и высшего напряжения.</w:t>
      </w:r>
    </w:p>
    <w:bookmarkEnd w:id="558"/>
    <w:bookmarkStart w:name="637602014" w:id="5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110 кВ и выше, без выключателей на стороне высшего напряжения, при невозможности установки трансформаторов тока и напряжения, измерение мощности производится по низкой стороне. Также должны предусматриваться места для присоединения контрольных показывающих или регистрирующих приборов;</w:t>
      </w:r>
    </w:p>
    <w:bookmarkEnd w:id="559"/>
    <w:bookmarkStart w:name="637602015" w:id="5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линий напряжением 110 кВ и выше, а также обходных выключателей – активной и реактивной мощности. На линиях напряжением 35 кВ и ниже – где для контроля режимов сети необходимы измерения перетоков активной и реактивной мощности;</w:t>
      </w:r>
    </w:p>
    <w:bookmarkEnd w:id="560"/>
    <w:bookmarkStart w:name="637602016" w:id="5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на других элементах подстанции,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bookmarkEnd w:id="561"/>
    <w:bookmarkStart w:name="637602017" w:id="5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 При установке щитовых показывающих приборов в цепях, в которых направление мощности может изменяться, эти приборы должны иметь двустороннюю шкалу.</w:t>
      </w:r>
    </w:p>
    <w:bookmarkEnd w:id="562"/>
    <w:bookmarkStart w:name="637602018" w:id="5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 Должна производиться регистрация:</w:t>
      </w:r>
    </w:p>
    <w:bookmarkEnd w:id="563"/>
    <w:bookmarkStart w:name="637602019" w:id="5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активной мощности турбогенераторов;</w:t>
      </w:r>
    </w:p>
    <w:bookmarkEnd w:id="564"/>
    <w:bookmarkStart w:name="637602020" w:id="5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суммарной мощности электростанций.</w:t>
      </w:r>
    </w:p>
    <w:bookmarkEnd w:id="565"/>
    <w:bookmarkStart w:name="637602021" w:id="5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 Измерение частоты производиться:</w:t>
      </w:r>
    </w:p>
    <w:bookmarkEnd w:id="566"/>
    <w:bookmarkStart w:name="637602022" w:id="5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каждой секции шин генераторного напряжения;</w:t>
      </w:r>
    </w:p>
    <w:bookmarkEnd w:id="567"/>
    <w:bookmarkStart w:name="637602023" w:id="5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каждом генераторе блочной тепловой или атомной электростанций;</w:t>
      </w:r>
    </w:p>
    <w:bookmarkEnd w:id="568"/>
    <w:bookmarkStart w:name="637602024" w:id="5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каждой системе (секции) шин высшего напряжения электростанции;</w:t>
      </w:r>
    </w:p>
    <w:bookmarkEnd w:id="569"/>
    <w:bookmarkStart w:name="637602025" w:id="5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узлах возможного деления энергосистемы на несинхронно работающие части.</w:t>
      </w:r>
    </w:p>
    <w:bookmarkEnd w:id="570"/>
    <w:bookmarkStart w:name="637602026" w:id="5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 Регистрация частоты или ее отклонения от заданного значения должна производиться:</w:t>
      </w:r>
    </w:p>
    <w:bookmarkEnd w:id="571"/>
    <w:bookmarkStart w:name="637602027" w:id="5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электростанциях мощностью 200 МВт и более;</w:t>
      </w:r>
    </w:p>
    <w:bookmarkEnd w:id="572"/>
    <w:bookmarkStart w:name="637602028" w:id="5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электростанциях мощностью 6 МВт и более, работающих изолированно.</w:t>
      </w:r>
    </w:p>
    <w:bookmarkEnd w:id="573"/>
    <w:bookmarkStart w:name="637602029" w:id="5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 Абсолютная погрешность регистрирующих частотомеров на электростанциях, участвующих в регулировании мощности, должна быть не более ±0,1 Гц.</w:t>
      </w:r>
    </w:p>
    <w:bookmarkEnd w:id="574"/>
    <w:bookmarkStart w:name="637602030" w:id="5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p>
    <w:bookmarkEnd w:id="575"/>
    <w:bookmarkStart w:name="637602031" w:id="5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 Для автоматической регистрации аварийных процессов в электрической части энергосистемы должны предусматриваться регистраторы аварийных событий (автоматические цифровые осциллографы), либо другие микропроцессорные устройства, выполняющие данную функцию.</w:t>
      </w:r>
    </w:p>
    <w:bookmarkEnd w:id="576"/>
    <w:bookmarkStart w:name="637602032" w:id="5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Расстановку регистраторов аварийных событий на объектах, а также выбор регистрируемых ими электрических параметров производится в соответствии с требованиями, приведенными в таблице 41 приложения к настоящим Правилам.</w:t>
      </w:r>
    </w:p>
    <w:bookmarkEnd w:id="577"/>
    <w:bookmarkStart w:name="637602033" w:id="5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 На электрических станциях, принадлежащих потребителю и имеющих связь с энергосистемой (блок-станциях), должны предусматриваться регистраторы аварийных событий (автоматические цифровые осциллографы). Эти приборы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bookmarkEnd w:id="578"/>
    <w:bookmarkStart w:name="637602034" w:id="5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 Для определения мест повреждений на линиях напряжением 110 кВ и выше должны предусматриваться фиксирующие приборы или микропроцессорные устройства РЗА со встроенной функцией определения места повреждения.</w:t>
      </w:r>
    </w:p>
    <w:bookmarkEnd w:id="579"/>
    <w:bookmarkStart w:name="637602035" w:id="580"/>
    <w:p>
      <w:pPr>
        <w:spacing w:before="120" w:after="120" w:line="240"/>
        <w:ind w:left="0"/>
        <w:jc w:val="both"/>
      </w:pPr>
      <w:r>
        <w:rPr>
          <w:rFonts w:hint="default" w:ascii="Times New Roman" w:hAnsi="Times New Roman"/>
          <w:b/>
          <w:i w:val="false"/>
          <w:color w:val="000000"/>
          <w:sz w:val="24"/>
        </w:rPr>
        <w:t>7. Заземление и защитные меры электробезопасности</w:t>
      </w:r>
    </w:p>
    <w:bookmarkEnd w:id="580"/>
    <w:bookmarkStart w:name="637602036" w:id="581"/>
    <w:p>
      <w:pPr>
        <w:spacing w:before="120" w:after="120" w:line="240"/>
        <w:ind w:left="0"/>
        <w:jc w:val="center"/>
      </w:pPr>
      <w:r>
        <w:rPr>
          <w:rFonts w:hint="default" w:ascii="Times New Roman" w:hAnsi="Times New Roman"/>
          <w:b/>
          <w:i w:val="false"/>
          <w:color w:val="000000"/>
          <w:sz w:val="24"/>
        </w:rPr>
        <w:t>Параграф 1. Общие положения</w:t>
      </w:r>
    </w:p>
    <w:bookmarkEnd w:id="581"/>
    <w:bookmarkStart w:name="637602037" w:id="5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 Электроустановки в отношении мер электробезопасности разделяются на:</w:t>
      </w:r>
    </w:p>
    <w:bookmarkEnd w:id="582"/>
    <w:bookmarkStart w:name="637602038" w:id="5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электроустановки напряжением выше 1 кВ в сетях с глухозаземленной или эффективно заземленной нейтралью;</w:t>
      </w:r>
    </w:p>
    <w:bookmarkEnd w:id="583"/>
    <w:bookmarkStart w:name="637602039" w:id="5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электроустановки напряжением выше 1 кВ в сетях с изолированной или заземленной через дугогасящий реактор или резистор нейтралью;</w:t>
      </w:r>
    </w:p>
    <w:bookmarkEnd w:id="584"/>
    <w:bookmarkStart w:name="637602040" w:id="5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электроустановки напряжением до 1 кВ с глухозаземленной нейтралью;</w:t>
      </w:r>
    </w:p>
    <w:bookmarkEnd w:id="585"/>
    <w:bookmarkStart w:name="637602041" w:id="5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электроустановки напряжением до 1 кВ с изолированной нейтралью.</w:t>
      </w:r>
    </w:p>
    <w:bookmarkEnd w:id="586"/>
    <w:bookmarkStart w:name="637602042" w:id="5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представляющем опасность поражения электрическим током как в нормальном режиме работы электроустановки, так и при повреждении изоляции.</w:t>
      </w:r>
    </w:p>
    <w:bookmarkEnd w:id="587"/>
    <w:bookmarkStart w:name="637602043" w:id="5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bookmarkEnd w:id="588"/>
    <w:bookmarkStart w:name="637602044" w:id="5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основная изоляция токоведущих частей;</w:t>
      </w:r>
    </w:p>
    <w:bookmarkEnd w:id="589"/>
    <w:bookmarkStart w:name="637602045" w:id="5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ограждения и оболочки;</w:t>
      </w:r>
    </w:p>
    <w:bookmarkEnd w:id="590"/>
    <w:bookmarkStart w:name="637602046" w:id="5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установка барьеров;</w:t>
      </w:r>
    </w:p>
    <w:bookmarkEnd w:id="591"/>
    <w:bookmarkStart w:name="637602047" w:id="5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размещение вне зоны досягаемости;</w:t>
      </w:r>
    </w:p>
    <w:bookmarkEnd w:id="592"/>
    <w:bookmarkStart w:name="637602048" w:id="5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применение малого напряжения.</w:t>
      </w:r>
    </w:p>
    <w:bookmarkEnd w:id="593"/>
    <w:bookmarkStart w:name="637602049" w:id="5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bookmarkEnd w:id="594"/>
    <w:bookmarkStart w:name="637602050" w:id="5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защитное заземление;</w:t>
      </w:r>
    </w:p>
    <w:bookmarkEnd w:id="595"/>
    <w:bookmarkStart w:name="637602051" w:id="5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автоматическое отключение питания;</w:t>
      </w:r>
    </w:p>
    <w:bookmarkEnd w:id="596"/>
    <w:bookmarkStart w:name="637602052" w:id="5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уравнивание потенциалов;</w:t>
      </w:r>
    </w:p>
    <w:bookmarkEnd w:id="597"/>
    <w:bookmarkStart w:name="637602053" w:id="5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выравнивание потенциалов;</w:t>
      </w:r>
    </w:p>
    <w:bookmarkEnd w:id="598"/>
    <w:bookmarkStart w:name="637602054" w:id="5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двойная или усиленная изоляция;</w:t>
      </w:r>
    </w:p>
    <w:bookmarkEnd w:id="599"/>
    <w:bookmarkStart w:name="637602055" w:id="6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малое напряжение;</w:t>
      </w:r>
    </w:p>
    <w:bookmarkEnd w:id="600"/>
    <w:bookmarkStart w:name="637602056" w:id="6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защитное электрическое разделение цепей;</w:t>
      </w:r>
    </w:p>
    <w:bookmarkEnd w:id="601"/>
    <w:bookmarkStart w:name="637602057" w:id="6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непроводящие (изолирующие) помещения, зоны, площадки.</w:t>
      </w:r>
    </w:p>
    <w:bookmarkEnd w:id="602"/>
    <w:bookmarkStart w:name="637602058" w:id="6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bookmarkEnd w:id="603"/>
    <w:bookmarkStart w:name="637602059" w:id="6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двух и более мер защиты в электроустановке не должно оказывать взаимного влияния, снижающего эффективность каждой из них.</w:t>
      </w:r>
    </w:p>
    <w:bookmarkEnd w:id="604"/>
    <w:bookmarkStart w:name="637602060" w:id="6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 Защита при косвенном прикосновении выполняется во всех случаях, если напряжение в электроустановке превышает 42 В переменного и 110 В постоянного тока.</w:t>
      </w:r>
    </w:p>
    <w:bookmarkEnd w:id="605"/>
    <w:bookmarkStart w:name="637602061" w:id="6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с повышенной опасностью, особо опасных и в наружных электроустановках выполнение защиты при косвенном прикосновении требуется, при более низких напряжениях и наличии требований настоящих Правил.</w:t>
      </w:r>
    </w:p>
    <w:bookmarkEnd w:id="606"/>
    <w:bookmarkStart w:name="637602062" w:id="6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прямого прикосновения не требуется, если электрооборудование находится в зоне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bookmarkEnd w:id="607"/>
    <w:bookmarkStart w:name="637602063" w:id="6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bookmarkEnd w:id="608"/>
    <w:bookmarkStart w:name="637602064" w:id="6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 Для заземления в электроустановках разных напряжений и разного назначения, территориально сближенных, применяется одно общее заземляющее устройство.</w:t>
      </w:r>
    </w:p>
    <w:bookmarkEnd w:id="609"/>
    <w:bookmarkStart w:name="637602065" w:id="6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Заземляющее устройство, используемое для заземления таких электроустановок, должно удовлетворять всем требованиям, предъявляемым к заземлению каждой из них: защиты людей от поражения электрическим током при повреждении изоляции, условиям режимов работы сетей, защиты электрооборудования от перенапряжения в течение всего периода эксплуатации.</w:t>
      </w:r>
    </w:p>
    <w:bookmarkEnd w:id="610"/>
    <w:bookmarkStart w:name="637602066" w:id="6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Заземляющие устройства защитного заземления электроустановок зданий и сооружений и молниезащиты 2-й и 3-й категорий этих зданий и сооружений, должны быть общими.</w:t>
      </w:r>
    </w:p>
    <w:bookmarkEnd w:id="611"/>
    <w:bookmarkStart w:name="637602067" w:id="6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bookmarkEnd w:id="612"/>
    <w:bookmarkStart w:name="637602068" w:id="6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объединения заземляющих устройств разных электроустановок могут быть использованы естественные и искусственные заземляющие проводники. Число их должно быть не менее двух.</w:t>
      </w:r>
    </w:p>
    <w:bookmarkEnd w:id="613"/>
    <w:bookmarkStart w:name="637602069" w:id="6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 Требуемые значения напряжения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погодных условиях.</w:t>
      </w:r>
    </w:p>
    <w:bookmarkEnd w:id="614"/>
    <w:bookmarkStart w:name="637602070" w:id="6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Определение сопротивления заземляющих устройств должно выполняться с учетом как естественных, так и искусственных заземлителей.</w:t>
      </w:r>
    </w:p>
    <w:bookmarkEnd w:id="615"/>
    <w:bookmarkStart w:name="637602071" w:id="6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удельного сопротивления земли в качестве расчетного принимается его сезонное значение, соответствующее наиболее неблагоприятным условиям.</w:t>
      </w:r>
    </w:p>
    <w:bookmarkEnd w:id="616"/>
    <w:bookmarkStart w:name="637602072" w:id="6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Заземляющие устройства должны быть механически прочными, термически и динамически стойкими к токам замыкания на землю.</w:t>
      </w:r>
    </w:p>
    <w:bookmarkEnd w:id="617"/>
    <w:bookmarkStart w:name="637602073" w:id="6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 Электроустановки напряжением до 1 кВ переменного тока жилых, общественных и промышленных зданий, а также наружные электроустановки до 1 кВ должны, получать питание от источника с глухозаземленной нейтралью при этом открытые проводящие части электроустановок должны быть присоединены к нейтрали.</w:t>
      </w:r>
    </w:p>
    <w:bookmarkEnd w:id="618"/>
    <w:bookmarkStart w:name="637602074" w:id="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пунктами 173–174 настоящих Правил.</w:t>
      </w:r>
    </w:p>
    <w:bookmarkEnd w:id="619"/>
    <w:bookmarkStart w:name="637602075" w:id="6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 Питание электроустановок напряжением до 1 кВ переменного тока от источника с изолированной нейтралью, с заземлением открытых проводящих частей электроприемников выполняется,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устройством контроля изоляции сети или применено устройство защитного отключения (далее - УЗО) с номинальным отключающим дифференциальным током не более 30 мА.</w:t>
      </w:r>
    </w:p>
    <w:bookmarkEnd w:id="620"/>
    <w:bookmarkStart w:name="637602076" w:id="6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электроустановки от двойного замыкания на землю должно быть выполнено автоматическое отключение питания в соответствии с пунктом 176 настоящих Правил.</w:t>
      </w:r>
    </w:p>
    <w:bookmarkEnd w:id="621"/>
    <w:bookmarkStart w:name="637602077" w:id="6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неприсоединенного к нейтрали, допускается только в тех случаях, когда условия электробезопасности присоединением заземлителей к глухозаземленной нейтрали не могут быть обеспечены. Для защиты при косвенном прикосновении в таких электроустановках должно быть выполнено автоматическое отключение питания с применением УЗО. При этом должно быть соблюдено условие:</w:t>
      </w:r>
    </w:p>
    <w:bookmarkEnd w:id="622"/>
    <w:bookmarkStart w:name="637602078" w:id="623"/>
    <w:p>
      <w:pPr>
        <w:spacing w:before="120" w:after="120" w:line="240"/>
        <w:ind w:left="0"/>
        <w:jc w:val="center"/>
      </w:pPr>
      <w:r>
        <w:rPr>
          <w:rFonts w:hint="default" w:ascii="Times New Roman" w:hAnsi="Times New Roman"/>
          <w:b w:val="false"/>
          <w:i w:val="false"/>
          <w:color w:val="000000"/>
          <w:sz w:val="24"/>
        </w:rPr>
        <w:t>R</w:t>
      </w:r>
      <w:r>
        <w:rPr>
          <w:rFonts w:hint="default" w:ascii="Times New Roman" w:hAnsi="Times New Roman"/>
          <w:b w:val="false"/>
          <w:i w:val="false"/>
          <w:color w:val="000000"/>
          <w:vertAlign w:val="subscript"/>
        </w:rPr>
        <w:t>a</w:t>
      </w:r>
      <w:r>
        <w:rPr>
          <w:rFonts w:hint="default" w:ascii="Times New Roman" w:hAnsi="Times New Roman"/>
          <w:b w:val="false"/>
          <w:i w:val="false"/>
          <w:color w:val="000000"/>
          <w:sz w:val="24"/>
        </w:rPr>
        <w:t xml:space="preserve"> I</w:t>
      </w:r>
      <w:r>
        <w:rPr>
          <w:rFonts w:hint="default" w:ascii="Times New Roman" w:hAnsi="Times New Roman"/>
          <w:b w:val="false"/>
          <w:i w:val="false"/>
          <w:color w:val="000000"/>
          <w:vertAlign w:val="subscript"/>
        </w:rPr>
        <w:t>a</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50 В,</w:t>
      </w:r>
    </w:p>
    <w:bookmarkEnd w:id="623"/>
    <w:bookmarkStart w:name="637602079" w:id="624"/>
    <w:p>
      <w:pPr>
        <w:spacing w:before="120" w:after="120" w:line="240"/>
        <w:ind w:left="0"/>
        <w:jc w:val="both"/>
      </w:pPr>
      <w:r>
        <w:rPr>
          <w:b w:val="false"/>
          <w:i w:val="false"/>
          <w:color w:val="000000"/>
          <w:sz w:val="24"/>
        </w:rPr>
        <w:t> </w:t>
      </w:r>
      <w:r>
        <w:br/>
      </w:r>
      <w:r>
        <w:rPr>
          <w:b w:val="false"/>
          <w:i w:val="false"/>
          <w:color w:val="000000"/>
          <w:sz w:val="24"/>
        </w:rPr>
        <w:t>
 где I</w:t>
      </w:r>
      <w:r>
        <w:rPr>
          <w:b w:val="false"/>
          <w:i w:val="false"/>
          <w:color w:val="000000"/>
          <w:vertAlign w:val="subscript"/>
        </w:rPr>
        <w:t>a</w:t>
      </w:r>
      <w:r>
        <w:rPr>
          <w:b w:val="false"/>
          <w:i w:val="false"/>
          <w:color w:val="000000"/>
          <w:sz w:val="24"/>
        </w:rPr>
        <w:t xml:space="preserve"> – ток срабатывания защитного устройства;</w:t>
      </w:r>
    </w:p>
    <w:bookmarkEnd w:id="624"/>
    <w:bookmarkStart w:name="637602080" w:id="625"/>
    <w:p>
      <w:pPr>
        <w:spacing w:before="120" w:after="120" w:line="240"/>
        <w:ind w:left="0"/>
        <w:jc w:val="both"/>
      </w:pPr>
      <w:r>
        <w:rPr>
          <w:rFonts w:hint="default" w:ascii="Times New Roman" w:hAnsi="Times New Roman"/>
          <w:b w:val="false"/>
          <w:i w:val="false"/>
          <w:color w:val="000000"/>
          <w:sz w:val="24"/>
        </w:rPr>
        <w:t>R</w:t>
      </w:r>
      <w:r>
        <w:rPr>
          <w:rFonts w:hint="default" w:ascii="Times New Roman" w:hAnsi="Times New Roman"/>
          <w:b w:val="false"/>
          <w:i w:val="false"/>
          <w:color w:val="000000"/>
          <w:vertAlign w:val="subscript"/>
        </w:rPr>
        <w:t>a</w:t>
      </w:r>
      <w:r>
        <w:rPr>
          <w:rFonts w:hint="default" w:ascii="Times New Roman" w:hAnsi="Times New Roman"/>
          <w:b w:val="false"/>
          <w:i w:val="false"/>
          <w:color w:val="000000"/>
          <w:sz w:val="24"/>
        </w:rPr>
        <w:t xml:space="preserve"> – суммарное сопротивление заземлителя и заземляющего проводника. При применении УЗО для защиты нескольких электроприемников – это сопротивление заземлителя и заземляющего проводника наиболее удаленного электроприемника.</w:t>
      </w:r>
    </w:p>
    <w:bookmarkEnd w:id="625"/>
    <w:bookmarkStart w:name="637602081" w:id="6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 При применении автоматического отключения питания должна быть выполнена основная система уравнивания потенциалов в соответствии с пунктом 177 настоящих Правил, а при необходимости также дополнительная система уравнивания потенциалов в соответствии с пунктом 178 настоящих Правил.</w:t>
      </w:r>
    </w:p>
    <w:bookmarkEnd w:id="626"/>
    <w:bookmarkStart w:name="637602082" w:id="6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 В электроустановках с присоединением защитных проводников к глухозаземленной нейтрали выполняется повторное заземление этих проводников на вводе в здания, а также в других доступных местах.</w:t>
      </w:r>
    </w:p>
    <w:bookmarkEnd w:id="627"/>
    <w:bookmarkStart w:name="637602083" w:id="6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повторного заземления в первую очередь используются естественные заземлители. Сопротивление заземлителя повторного заземления не нормируется.</w:t>
      </w:r>
    </w:p>
    <w:bookmarkEnd w:id="628"/>
    <w:bookmarkStart w:name="637602084" w:id="6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bookmarkEnd w:id="629"/>
    <w:bookmarkStart w:name="637602085" w:id="6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Повторное заземление электроустановок напряжением до 1 кВ, получающих питание по воздушным линиям, должно выполняться в соответствии с пунктами 198–199 настоящих Правил.</w:t>
      </w:r>
    </w:p>
    <w:bookmarkEnd w:id="630"/>
    <w:bookmarkStart w:name="637602086" w:id="6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 Если время автоматического отключения питания не удовлетворяет условия пунктов 173, 174, 176 настоящих Правил, то защита при косвенном прикосновении для отдельных частей электроустановки или отдельных электроприемников выполняется с применением двойной или усиленной изоляции (электрооборудование класса II), малого напряжения (электрооборудование класса III), электрического разделения цепей, изолирующих помещений, зон, площадок.</w:t>
      </w:r>
    </w:p>
    <w:bookmarkEnd w:id="631"/>
    <w:bookmarkStart w:name="637602087" w:id="6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Классификация оборудования по способу защиты человека от поражения электрическим током и условия его применения приведены в таблице 42 приложения к настоящим Правилам.</w:t>
      </w:r>
    </w:p>
    <w:bookmarkEnd w:id="632"/>
    <w:bookmarkStart w:name="637602088" w:id="6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 Электросеть до 1 кВ с изолированной нейтралью, связанная через трансформатор с сетью напряжением выше 1 кВ, должна быть защищена пробивным предохранителем в случае повреждения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bookmarkEnd w:id="633"/>
    <w:bookmarkStart w:name="637602089" w:id="6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159. В электроустановках напряжением выше 1 кВ с изолированной или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bookmarkEnd w:id="634"/>
    <w:bookmarkStart w:name="637602090" w:id="6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160. В электроустановках напряжением выше 1 кВ с изолированной нейтралью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когда это необходимо по условиям безопасности (для линий, питающих передвижные подстанции и механизмы).</w:t>
      </w:r>
    </w:p>
    <w:bookmarkEnd w:id="635"/>
    <w:bookmarkStart w:name="637602091" w:id="6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161. Защитное заземление (зануление) электрооборудования напряжением до 1 кВ,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настоящих Правил.</w:t>
      </w:r>
    </w:p>
    <w:bookmarkEnd w:id="636"/>
    <w:bookmarkStart w:name="637602092" w:id="6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заземляющего устройства опоры ВЛ, на которой установлено оборудование, должно соответствовать требованиям глав 11 и 12 настоящих Правил.</w:t>
      </w:r>
    </w:p>
    <w:bookmarkEnd w:id="637"/>
    <w:bookmarkStart w:name="637602093" w:id="638"/>
    <w:p>
      <w:pPr>
        <w:spacing w:before="120" w:after="120" w:line="240"/>
        <w:ind w:left="0"/>
        <w:jc w:val="center"/>
      </w:pPr>
      <w:r>
        <w:rPr>
          <w:rFonts w:hint="default" w:ascii="Times New Roman" w:hAnsi="Times New Roman"/>
          <w:b/>
          <w:i w:val="false"/>
          <w:color w:val="000000"/>
          <w:sz w:val="24"/>
        </w:rPr>
        <w:t>Параграф 2. Меры защиты от прямого прикосновения</w:t>
      </w:r>
    </w:p>
    <w:bookmarkEnd w:id="638"/>
    <w:bookmarkStart w:name="637602094" w:id="6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162. Основная изоляция токоведущих частей должна покрывать токоведущие части и сохранять свои свойства в процессе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главы 8 настоящих Правил.</w:t>
      </w:r>
    </w:p>
    <w:bookmarkEnd w:id="639"/>
    <w:bookmarkStart w:name="637602095" w:id="6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должна быть выполнена посредством оболочек, ограждений, барьеров или размещением вне зоны досягаемости.</w:t>
      </w:r>
    </w:p>
    <w:bookmarkEnd w:id="640"/>
    <w:bookmarkStart w:name="637602096" w:id="6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163. Ограждения и оболочки в электроустановках напряжением до 1 кВ должны иметь степень защиты не менее IР2Х, за исключением случаев, когда большие зазоры необходимы для нормальной работы электрооборудования.</w:t>
      </w:r>
    </w:p>
    <w:bookmarkEnd w:id="641"/>
    <w:bookmarkStart w:name="637602097" w:id="6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Ограждения и оболочки должны быть надежно закреплены и иметь достаточную механическую прочность.</w:t>
      </w:r>
    </w:p>
    <w:bookmarkEnd w:id="642"/>
    <w:bookmarkStart w:name="637602098" w:id="6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IР2Х, удаление которых также должно быть возможно только при помощи специального ключа или инструмента.</w:t>
      </w:r>
    </w:p>
    <w:bookmarkEnd w:id="643"/>
    <w:bookmarkStart w:name="637602099" w:id="6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164. Барьеры предназначены для защиты от случайного прикосновения к токоведущим частям в электроустановках напряжение до 1 кВ или приближения к токоведущим частям на опасное расстояние в электроустановках напряжением выше 1 кВ. Барьеры должны быть закреплены так, чтобы их невозможно снять преднамеренно. Барьеры должны быть выполнены из изолирующего материала.</w:t>
      </w:r>
    </w:p>
    <w:bookmarkEnd w:id="644"/>
    <w:bookmarkStart w:name="637602100" w:id="6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165. Размещение вне зоны досягаемости применяется при невозможности выполнения мер, указанных в пунктах 161 – 163 настоящих Правил,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bookmarkEnd w:id="645"/>
    <w:bookmarkStart w:name="637602101" w:id="6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вертикальном направлении зона досягаемости в электроустановках напряжением до 1 кВ должна составлять 2,5 м от поверхности, на которой находятся люди.</w:t>
      </w:r>
    </w:p>
    <w:bookmarkEnd w:id="646"/>
    <w:bookmarkStart w:name="637602102" w:id="6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размеры даны без учета применения вспомогательных средств (инструмента, лестниц).</w:t>
      </w:r>
    </w:p>
    <w:bookmarkEnd w:id="647"/>
    <w:bookmarkStart w:name="637602103" w:id="6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166. Установка барьеров и размещение вне зоны досягаемости допускается только в помещениях, доступных квалифицированному персоналу.</w:t>
      </w:r>
    </w:p>
    <w:bookmarkEnd w:id="648"/>
    <w:bookmarkStart w:name="637602104" w:id="6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167. В помещениях электроустановок напряжением до 1 кВ не требуется защита от прямого прикосновения при одновременном выполнении следующих условий:</w:t>
      </w:r>
    </w:p>
    <w:bookmarkEnd w:id="649"/>
    <w:bookmarkStart w:name="637602105" w:id="6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эти помещения отчетливо обозначены, и доступ в них возможен только с помощью ключа;</w:t>
      </w:r>
    </w:p>
    <w:bookmarkEnd w:id="650"/>
    <w:bookmarkStart w:name="637602106" w:id="6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обеспечена возможность свободного выхода из помещения без ключа, даже если оно заперто на ключ снаружи;</w:t>
      </w:r>
    </w:p>
    <w:bookmarkEnd w:id="651"/>
    <w:bookmarkStart w:name="637602107" w:id="6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минимальные размеры проходов обслуживания соответствуют требованиям параграфа 2 главы 16 настоящих Правил.</w:t>
      </w:r>
    </w:p>
    <w:bookmarkEnd w:id="652"/>
    <w:bookmarkStart w:name="637602108" w:id="6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168. Малое напряжение (далее – МН) в электроустановках напряжением до 1 кВ применяется для защиты от поражения электрическим током как при прямом, так и при косвенном прикосновении в сочетании с защитным электрическим разделением цепей или в сочетании с автоматическим отключением питания.</w:t>
      </w:r>
    </w:p>
    <w:bookmarkEnd w:id="653"/>
    <w:bookmarkStart w:name="637602109" w:id="6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источника питания цепей МН в обоих случаях применяется безопасный разделительный трансформатор или другой источник МН, обеспечивающий равноценную степень безопасности.</w:t>
      </w:r>
    </w:p>
    <w:bookmarkEnd w:id="654"/>
    <w:bookmarkStart w:name="637602110" w:id="6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Токоведущие части цепей МН должны быть электрически отделены от других цепей так, чтобы обеспечивалось электрическое разделение цепей, равноценное разделению между первичной и вторичной обмотками разделительного трансформатора.</w:t>
      </w:r>
    </w:p>
    <w:bookmarkEnd w:id="655"/>
    <w:bookmarkStart w:name="637602111" w:id="6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Проводники цепей МН,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bookmarkEnd w:id="656"/>
    <w:bookmarkStart w:name="637602112" w:id="6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Вилки и розетки штепсельных соединителей в цепях МН не должны допускать подключение к розеткам и вилкам других напряжений.</w:t>
      </w:r>
    </w:p>
    <w:bookmarkEnd w:id="657"/>
    <w:bookmarkStart w:name="637602113" w:id="6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Штепсельные розетки цепей МН должны быть выполнены без защитного контакта.</w:t>
      </w:r>
    </w:p>
    <w:bookmarkEnd w:id="658"/>
    <w:bookmarkStart w:name="637602114" w:id="6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значениях МН выше 25 В переменного и 60 В постоянного тока должна быть также применена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минут.</w:t>
      </w:r>
    </w:p>
    <w:bookmarkEnd w:id="659"/>
    <w:bookmarkStart w:name="637602115" w:id="6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169. При применении МН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МН.</w:t>
      </w:r>
    </w:p>
    <w:bookmarkEnd w:id="660"/>
    <w:bookmarkStart w:name="637602116" w:id="6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МН в сочетании с электрическим разделением цепей применяется, когда при помощи МН необходимо обеспечить защиту от поражения электрическим током при повреждении изоляции в цепи МН, повреждении изоляции в других цепях.</w:t>
      </w:r>
    </w:p>
    <w:bookmarkEnd w:id="661"/>
    <w:bookmarkStart w:name="637602117" w:id="6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170. При применении МН в сочетании с автоматическим отключением питания один из выводов источника МН и его корпус должны быть присоединены к защитному проводнику цепи, питающему источник.</w:t>
      </w:r>
    </w:p>
    <w:bookmarkEnd w:id="662"/>
    <w:bookmarkStart w:name="637602118" w:id="6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171. В случаях, когда в электроустановке применено электрооборудование с наибольшим рабочим напряжением, не превышающим 42 В переменного или 110 В постоянного тока, такое напряжение используется в качестве меры защиты от прямого и косвенного прикосновения, если при этом соблюдены требования пунктов 167–169 настоящих Правил.</w:t>
      </w:r>
    </w:p>
    <w:bookmarkEnd w:id="663"/>
    <w:bookmarkStart w:name="637602119" w:id="664"/>
    <w:p>
      <w:pPr>
        <w:spacing w:before="120" w:after="120" w:line="240"/>
        <w:ind w:left="0"/>
        <w:jc w:val="center"/>
      </w:pPr>
      <w:r>
        <w:rPr>
          <w:rFonts w:hint="default" w:ascii="Times New Roman" w:hAnsi="Times New Roman"/>
          <w:b/>
          <w:i w:val="false"/>
          <w:color w:val="000000"/>
          <w:sz w:val="24"/>
        </w:rPr>
        <w:t>Параграф 3. Меры защиты при косвенном прикосновении</w:t>
      </w:r>
    </w:p>
    <w:bookmarkEnd w:id="664"/>
    <w:bookmarkStart w:name="637602120" w:id="6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172. Требования защиты при косвенном прикосновении распространяются на:</w:t>
      </w:r>
    </w:p>
    <w:bookmarkEnd w:id="665"/>
    <w:bookmarkStart w:name="637602121" w:id="6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корпуса электрических машин, трансформаторов, аппаратов, светильников;</w:t>
      </w:r>
    </w:p>
    <w:bookmarkEnd w:id="666"/>
    <w:bookmarkStart w:name="637602122" w:id="6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приводы электрических аппаратов;</w:t>
      </w:r>
    </w:p>
    <w:bookmarkEnd w:id="667"/>
    <w:bookmarkStart w:name="637602123" w:id="6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42 В переменного или 110 В постоянного тока (в случаях, предусмотренных соответствующими Правилами – выше 25 В переменного или 60 В постоянного тока);</w:t>
      </w:r>
    </w:p>
    <w:bookmarkEnd w:id="668"/>
    <w:bookmarkStart w:name="637602124" w:id="6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(за исключением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bookmarkEnd w:id="669"/>
    <w:bookmarkStart w:name="637602125" w:id="6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металлические оболочки и броню контрольных и силовых кабелей и проводов на напряжения, не превышающие указанные в пункте 147 настоящих Правил, проложенные на общих металлических конструкциях, в том числе в общих трубах, коробах, лотках, с кабелями и проводами на более высокие напряжения;</w:t>
      </w:r>
    </w:p>
    <w:bookmarkEnd w:id="670"/>
    <w:bookmarkStart w:name="637602126" w:id="6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металлические корпуса передвижных и переносных электроприемников;</w:t>
      </w:r>
    </w:p>
    <w:bookmarkEnd w:id="671"/>
    <w:bookmarkStart w:name="637602127" w:id="6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электрооборудование, установленное на движущихся частях станков, машин и механизмов.</w:t>
      </w:r>
    </w:p>
    <w:bookmarkEnd w:id="672"/>
    <w:bookmarkStart w:name="637602128" w:id="6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или заземлены при помощи заземляющего устройства.</w:t>
      </w:r>
    </w:p>
    <w:bookmarkEnd w:id="673"/>
    <w:bookmarkStart w:name="637602129" w:id="6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173. Не требуется преднамеренно присоединять к нейтрали и заземлять:</w:t>
      </w:r>
    </w:p>
    <w:bookmarkEnd w:id="674"/>
    <w:bookmarkStart w:name="637602130" w:id="6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корпусов оборудования и аппаратов с основаниями;</w:t>
      </w:r>
    </w:p>
    <w:bookmarkEnd w:id="675"/>
    <w:bookmarkStart w:name="637602131" w:id="6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конструкции, перечисленные в пункте 172 настоящих Правил,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bookmarkEnd w:id="676"/>
    <w:bookmarkStart w:name="637602132" w:id="6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съемные или открывающиеся части металлических каркасов камер распределительных устройств, шкафов, ограждений,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пункте 147 настоящих Правил;</w:t>
      </w:r>
    </w:p>
    <w:bookmarkEnd w:id="677"/>
    <w:bookmarkStart w:name="637602133" w:id="6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арматуру изоляторов воздушных линий электропередачи и присоединяемые к ней крепежные детали;</w:t>
      </w:r>
    </w:p>
    <w:bookmarkEnd w:id="678"/>
    <w:bookmarkStart w:name="637602134" w:id="6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открытые проводящие части электрооборудования с двойной изоляцией;</w:t>
      </w:r>
    </w:p>
    <w:bookmarkEnd w:id="679"/>
    <w:bookmarkStart w:name="637602135" w:id="680"/>
    <w:p>
      <w:pPr>
        <w:spacing w:before="120" w:after="120" w:line="240"/>
        <w:ind w:left="0"/>
        <w:jc w:val="both"/>
      </w:pPr>
      <w:r>
        <w:rPr>
          <w:rFonts w:hint="default" w:ascii="Times New Roman" w:hAnsi="Times New Roman"/>
          <w:b w:val="false"/>
          <w:i w:val="false"/>
          <w:color w:val="000000"/>
          <w:sz w:val="24"/>
        </w:rP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в том числе протяжные и ответвительные коробки скрытых электропроводок.</w:t>
      </w:r>
    </w:p>
    <w:bookmarkEnd w:id="680"/>
    <w:bookmarkStart w:name="637602136" w:id="6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174. При выполнении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или заземлены, в зависимости от принятой системы заземления.</w:t>
      </w:r>
    </w:p>
    <w:bookmarkEnd w:id="681"/>
    <w:bookmarkStart w:name="637602137" w:id="6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цепи защитно-коммутационным аппаратом в соответствии с номинальным фазным напряжением питающей сети.</w:t>
      </w:r>
    </w:p>
    <w:bookmarkEnd w:id="682"/>
    <w:bookmarkStart w:name="637602138" w:id="6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bookmarkEnd w:id="683"/>
    <w:bookmarkStart w:name="637602139" w:id="6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bookmarkEnd w:id="684"/>
    <w:bookmarkStart w:name="637602140" w:id="6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175. При занулении открытых проводящих частей время автоматического отключения питания не должно превышать значений, указанных в таблице 43 приложения к настоящим Правилам.</w:t>
      </w:r>
    </w:p>
    <w:bookmarkEnd w:id="685"/>
    <w:bookmarkStart w:name="637602141" w:id="6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I.</w:t>
      </w:r>
    </w:p>
    <w:bookmarkEnd w:id="686"/>
    <w:bookmarkStart w:name="637602142" w:id="6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цепях, питающих распределительные, групповые, этажные и другие щитки, время отключения не должно превышать 5 секунд.</w:t>
      </w:r>
    </w:p>
    <w:bookmarkEnd w:id="687"/>
    <w:bookmarkStart w:name="637602143" w:id="6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Допускаются значения времени отключения более указанных в таблице 43, но не более 5 секунд в цепях, питающих только стационарные электроприемники от распределительных щитов или щитков при выполнении следующих условий:</w:t>
      </w:r>
    </w:p>
    <w:bookmarkEnd w:id="688"/>
    <w:bookmarkStart w:name="637602144" w:id="6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полное сопротивление защитного проводника между главной заземляющей шиной и распределительным щитом (щитком) не превышает значения, определяемого формулой:</w:t>
      </w:r>
    </w:p>
    <w:bookmarkEnd w:id="689"/>
    <w:bookmarkStart w:name="637602145" w:id="690"/>
    <w:p>
      <w:pPr>
        <w:spacing w:before="120" w:after="120" w:line="240"/>
        <w:ind w:left="0"/>
        <w:jc w:val="center"/>
      </w:pPr>
      <w:r>
        <w:rPr>
          <w:rFonts w:hint="default" w:ascii="Times New Roman" w:hAnsi="Times New Roman"/>
          <w:b w:val="false"/>
          <w:i w:val="false"/>
          <w:color w:val="000000"/>
          <w:sz w:val="24"/>
        </w:rPr>
        <w:t>Z</w:t>
      </w:r>
      <w:r>
        <w:rPr>
          <w:rFonts w:hint="default" w:ascii="Times New Roman" w:hAnsi="Times New Roman"/>
          <w:b w:val="false"/>
          <w:i w:val="false"/>
          <w:color w:val="000000"/>
          <w:vertAlign w:val="subscript"/>
        </w:rPr>
        <w:t>п</w:t>
      </w:r>
      <w:r>
        <w:rPr>
          <w:rFonts w:hint="default" w:ascii="Times New Roman" w:hAnsi="Times New Roman"/>
          <w:b w:val="false"/>
          <w:i w:val="false"/>
          <w:color w:val="000000"/>
          <w:sz w:val="24"/>
        </w:rPr>
        <w:t xml:space="preserve"> = 42 х Z</w:t>
      </w:r>
      <w:r>
        <w:rPr>
          <w:rFonts w:hint="default" w:ascii="Times New Roman" w:hAnsi="Times New Roman"/>
          <w:b w:val="false"/>
          <w:i w:val="false"/>
          <w:color w:val="000000"/>
          <w:vertAlign w:val="subscript"/>
        </w:rPr>
        <w:t>ц</w:t>
      </w:r>
      <w:r>
        <w:rPr>
          <w:rFonts w:hint="default" w:ascii="Times New Roman" w:hAnsi="Times New Roman"/>
          <w:b w:val="false"/>
          <w:i w:val="false"/>
          <w:color w:val="000000"/>
          <w:sz w:val="24"/>
        </w:rPr>
        <w:t xml:space="preserve"> / U</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w:t>
      </w:r>
    </w:p>
    <w:bookmarkEnd w:id="690"/>
    <w:bookmarkStart w:name="637602146" w:id="691"/>
    <w:p>
      <w:pPr>
        <w:spacing w:before="120" w:after="120" w:line="240"/>
        <w:ind w:left="0"/>
        <w:jc w:val="both"/>
      </w:pPr>
      <w:r>
        <w:rPr>
          <w:b w:val="false"/>
          <w:i w:val="false"/>
          <w:color w:val="000000"/>
          <w:sz w:val="24"/>
        </w:rPr>
        <w:t> </w:t>
      </w:r>
      <w:r>
        <w:br/>
      </w:r>
      <w:r>
        <w:rPr>
          <w:b w:val="false"/>
          <w:i w:val="false"/>
          <w:color w:val="000000"/>
          <w:sz w:val="24"/>
        </w:rPr>
        <w:t>
 где Z</w:t>
      </w:r>
      <w:r>
        <w:rPr>
          <w:b w:val="false"/>
          <w:i w:val="false"/>
          <w:color w:val="000000"/>
          <w:vertAlign w:val="subscript"/>
        </w:rPr>
        <w:t>п</w:t>
      </w:r>
      <w:r>
        <w:rPr>
          <w:b w:val="false"/>
          <w:i w:val="false"/>
          <w:color w:val="000000"/>
          <w:sz w:val="24"/>
        </w:rPr>
        <w:t xml:space="preserve"> – полное сопротивление защитного проводника, Ом Z</w:t>
      </w:r>
      <w:r>
        <w:rPr>
          <w:b w:val="false"/>
          <w:i w:val="false"/>
          <w:color w:val="000000"/>
          <w:vertAlign w:val="subscript"/>
        </w:rPr>
        <w:t>ц</w:t>
      </w:r>
      <w:r>
        <w:rPr>
          <w:b w:val="false"/>
          <w:i w:val="false"/>
          <w:color w:val="000000"/>
          <w:sz w:val="24"/>
        </w:rPr>
        <w:t xml:space="preserve"> – полное сопротивление цепи «фаза—нуль», Ом U</w:t>
      </w:r>
      <w:r>
        <w:rPr>
          <w:b w:val="false"/>
          <w:i w:val="false"/>
          <w:color w:val="000000"/>
          <w:vertAlign w:val="subscript"/>
        </w:rPr>
        <w:t>0</w:t>
      </w:r>
      <w:r>
        <w:rPr>
          <w:b w:val="false"/>
          <w:i w:val="false"/>
          <w:color w:val="000000"/>
          <w:sz w:val="24"/>
        </w:rPr>
        <w:t xml:space="preserve"> – номинальное фазное напряжение цепи, В 42 – падение напряжения на участке защитного проводника между главной заземляющей шиной и распределительным щитом (щитком), В;</w:t>
      </w:r>
    </w:p>
    <w:bookmarkEnd w:id="691"/>
    <w:bookmarkStart w:name="637602147" w:id="6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 заземляющей шине распределительного щита (щитк1)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bookmarkEnd w:id="692"/>
    <w:bookmarkStart w:name="637602148" w:id="6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УЗО, реагирующих на дифференциальный ток.</w:t>
      </w:r>
    </w:p>
    <w:bookmarkEnd w:id="693"/>
    <w:bookmarkStart w:name="637602149" w:id="6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176. Не допускается применять УЗО, реагирующие на дифференциальный ток, в четырехпроводных трехфазных цепях. В случае необходимости применения УЗО для защиты отдельных электроприемников, получающих питание от таких цепей, защитный проводник электроприемника должен быть подключен к нейтрали до защитно-коммутационного аппарата.</w:t>
      </w:r>
    </w:p>
    <w:bookmarkEnd w:id="694"/>
    <w:bookmarkStart w:name="637602150" w:id="6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177. В трехфазных сетях с изолированной нейтралью время автоматического отключения питания при двойном замыкании на открытые проводящие части должно соответствовать таблице 44 приложения к настоящим Правилам.</w:t>
      </w:r>
    </w:p>
    <w:bookmarkEnd w:id="695"/>
    <w:bookmarkStart w:name="637602151" w:id="6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178. Основная система уравнивания потенциалов в электроустановках напряжением до 1 кВ должна соединять между собой следующие проводящие части:</w:t>
      </w:r>
    </w:p>
    <w:bookmarkEnd w:id="696"/>
    <w:bookmarkStart w:name="637602152" w:id="6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глухозаземленную нейтраль питающей линии;</w:t>
      </w:r>
    </w:p>
    <w:bookmarkEnd w:id="697"/>
    <w:bookmarkStart w:name="637602153" w:id="6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заземляющие проводники открытых проводящих частей электроприемников;</w:t>
      </w:r>
    </w:p>
    <w:bookmarkEnd w:id="698"/>
    <w:bookmarkStart w:name="637602154" w:id="6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заземляющие проводники, присоединенные к заземлителю повторного заземления на вводе в здание;</w:t>
      </w:r>
    </w:p>
    <w:bookmarkEnd w:id="699"/>
    <w:bookmarkStart w:name="637602155" w:id="7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металлические трубы коммуникаций, входящих в здание (горячего и холодного водоснабжения, отопления, канализации, газоснабжения).</w:t>
      </w:r>
    </w:p>
    <w:bookmarkEnd w:id="700"/>
    <w:bookmarkStart w:name="637602156" w:id="7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трубопровод газоснабжения имеет изолирующую вставку на вводе в здание, к основной системе уравнивания потенциалов присоединяется только часть трубопровода, находящаяся внутри здания;</w:t>
      </w:r>
    </w:p>
    <w:bookmarkEnd w:id="701"/>
    <w:bookmarkStart w:name="637602157" w:id="7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металлические части каркаса здания;</w:t>
      </w:r>
    </w:p>
    <w:bookmarkEnd w:id="702"/>
    <w:bookmarkStart w:name="637602158" w:id="7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металлические части централизованных систем вентиляции и кондиционирования. Металлические воздуховоды централизованных систем вентиляции и кондиционирования присоединяется к заземляющей шине щитов питания этих систем;</w:t>
      </w:r>
    </w:p>
    <w:bookmarkEnd w:id="703"/>
    <w:bookmarkStart w:name="637602159" w:id="7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заземляющее устройство системы молниезащиты 2-й и 3-й категорий;</w:t>
      </w:r>
    </w:p>
    <w:bookmarkEnd w:id="704"/>
    <w:bookmarkStart w:name="637602160" w:id="7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заземляющий проводник функционального (рабочего) заземления, если отсутствуют ограничения на присоединение сети рабочего заземления к заземляющему устройству защитного заземления;</w:t>
      </w:r>
    </w:p>
    <w:bookmarkEnd w:id="705"/>
    <w:bookmarkStart w:name="637602161" w:id="7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металлические оболочки телекоммуникационных кабелей.</w:t>
      </w:r>
    </w:p>
    <w:bookmarkEnd w:id="706"/>
    <w:bookmarkStart w:name="637602162" w:id="7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Проводящие части, входящие в здание извне, должны быть соединены ближе к точке их ввода в здание.</w:t>
      </w:r>
    </w:p>
    <w:bookmarkEnd w:id="707"/>
    <w:bookmarkStart w:name="637602163" w:id="7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соединения с основной системой уравнивания потенциалов все указанные части должны быть присоединены к главной заземляющей шине при помощи проводников системы уравнивания потенциалов.</w:t>
      </w:r>
    </w:p>
    <w:bookmarkEnd w:id="708"/>
    <w:bookmarkStart w:name="637602164" w:id="7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179.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защитные заземляющие и нулевые проводники, включая защитные проводники штепсельных розеток.</w:t>
      </w:r>
    </w:p>
    <w:bookmarkEnd w:id="709"/>
    <w:bookmarkStart w:name="637602165" w:id="7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180. 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пункта 214 настоящих Правил к защитным проводникам в отношении проводимости и непрерывности электрической цепи.</w:t>
      </w:r>
    </w:p>
    <w:bookmarkEnd w:id="710"/>
    <w:bookmarkStart w:name="637602166" w:id="7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181. Защита при помощи двойной или усиленной изоляции обеспечиваесся с применением электрооборудования класса II или заключением электрооборудования, имеющего основную изоляцию токоведущих частей, в изолирующую оболочку.</w:t>
      </w:r>
    </w:p>
    <w:bookmarkEnd w:id="711"/>
    <w:bookmarkStart w:name="637602167" w:id="7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Проводящие части оборудования с двойной или усиленной изоляцией не должны присоединяться к защитному проводнику и к системе уравнивания потенциалов.</w:t>
      </w:r>
    </w:p>
    <w:bookmarkEnd w:id="712"/>
    <w:bookmarkStart w:name="637602168" w:id="7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182. Защитное электрическое разделение цепей применяется для одной цепи.</w:t>
      </w:r>
    </w:p>
    <w:bookmarkEnd w:id="713"/>
    <w:bookmarkStart w:name="637602169" w:id="7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Наибольшее рабочее напряжение отделяемой цепи не должно превышать 500 В.</w:t>
      </w:r>
    </w:p>
    <w:bookmarkEnd w:id="714"/>
    <w:bookmarkStart w:name="637602170" w:id="7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Питание отделяемой цепи должно быть выполнено от разделительного трансформатора или от другого источника, обеспечивающего равноценную степень безопасности.</w:t>
      </w:r>
    </w:p>
    <w:bookmarkEnd w:id="715"/>
    <w:bookmarkStart w:name="637602171" w:id="7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bookmarkEnd w:id="716"/>
    <w:bookmarkStart w:name="637602172" w:id="7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Проводники цепей, питающихся от разделительного трансформатора, прокладывается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bookmarkEnd w:id="717"/>
    <w:bookmarkStart w:name="637602173" w:id="7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Открытые проводящие части электроприемников, питающихся от разделительного трансформатора, не должны быть присоединены к защитным проводникам и открытым проводящим частям других цепей.</w:t>
      </w:r>
    </w:p>
    <w:bookmarkEnd w:id="718"/>
    <w:bookmarkStart w:name="637602174" w:id="7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питании нескольких электроприемников от одного разделительного трансформатора необходимо обеспечить выполнение следующих условий:</w:t>
      </w:r>
    </w:p>
    <w:bookmarkEnd w:id="719"/>
    <w:bookmarkStart w:name="637602175" w:id="7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открытые проводящие части электроприемников не должны иметь электрической связи с металлическим корпусом трансформатора;</w:t>
      </w:r>
    </w:p>
    <w:bookmarkEnd w:id="720"/>
    <w:bookmarkStart w:name="637602176" w:id="7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открытые проводящие части электроприемников должны быть соединены между собой изолированными незаземленными проводниками местной системы уравнивания потенциалов;</w:t>
      </w:r>
    </w:p>
    <w:bookmarkEnd w:id="721"/>
    <w:bookmarkStart w:name="637602177" w:id="7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все штепсельные розетки должны иметь защитный контакт, присоединенный к местной незаземленной системе уравнивания потенциалов;</w:t>
      </w:r>
    </w:p>
    <w:bookmarkEnd w:id="722"/>
    <w:bookmarkStart w:name="637602178" w:id="7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bookmarkEnd w:id="723"/>
    <w:bookmarkStart w:name="637602179" w:id="7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время отключения устройством защиты при двухфазном замыкании на открытые проводящие части не должно превышать значений, указанных в таблице 44 приложения к настоящим Правилам.</w:t>
      </w:r>
    </w:p>
    <w:bookmarkEnd w:id="724"/>
    <w:bookmarkStart w:name="637602180" w:id="7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183.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или нецелесообразно.</w:t>
      </w:r>
    </w:p>
    <w:bookmarkEnd w:id="725"/>
    <w:bookmarkStart w:name="637602181" w:id="7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относительно локальной земли изолирующего пола и стен таких помещений, зон и площадок в любой точке должно быть не менее:</w:t>
      </w:r>
    </w:p>
    <w:bookmarkEnd w:id="726"/>
    <w:bookmarkStart w:name="637602182" w:id="7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 кОм при номинальном напряжении электроустановки до 500 В включительно, измеренное мегаомметром на напряжение 500 В;</w:t>
      </w:r>
    </w:p>
    <w:bookmarkEnd w:id="727"/>
    <w:bookmarkStart w:name="637602183" w:id="7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 кОм при номинальном напряжении более 500 В, измеренное мегаомметром на напряжение 1000 В.</w:t>
      </w:r>
    </w:p>
    <w:bookmarkEnd w:id="728"/>
    <w:bookmarkStart w:name="637602184" w:id="7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bookmarkEnd w:id="729"/>
    <w:bookmarkStart w:name="637602185" w:id="7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bookmarkEnd w:id="730"/>
    <w:bookmarkStart w:name="637602186" w:id="7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открытые проводящие части отделены от сторонних проводящих частей барьерами из изоляционного материала. При этом должны быть обеспечены с одной стороны барьера расстоянием, не менее указанных в подпункте 1) настоящего пункта;</w:t>
      </w:r>
    </w:p>
    <w:bookmarkEnd w:id="731"/>
    <w:bookmarkStart w:name="637602187" w:id="7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сторонние проводящие части покрыты изоляцией, выдерживающей испытательное напряжение переменного тока не менее 2 кВ в течение 1 минуты.</w:t>
      </w:r>
    </w:p>
    <w:bookmarkEnd w:id="732"/>
    <w:bookmarkStart w:name="637602188" w:id="7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изолирующих помещениях (зонах) не должен предусматриваться защитный проводник.</w:t>
      </w:r>
    </w:p>
    <w:bookmarkEnd w:id="733"/>
    <w:bookmarkStart w:name="637602189" w:id="7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Должны быть предусмотрены меры против заноса потенциала на сторонние проводящие части помещения извне.</w:t>
      </w:r>
    </w:p>
    <w:bookmarkEnd w:id="734"/>
    <w:bookmarkStart w:name="637602190" w:id="7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Пол и стены изолирующих помещений не должны подвергаться воздействию влаги.</w:t>
      </w:r>
    </w:p>
    <w:bookmarkEnd w:id="735"/>
    <w:bookmarkStart w:name="637602191" w:id="736"/>
    <w:p>
      <w:pPr>
        <w:spacing w:before="120" w:after="120" w:line="240"/>
        <w:ind w:left="0"/>
        <w:jc w:val="center"/>
      </w:pPr>
      <w:r>
        <w:rPr>
          <w:rFonts w:hint="default" w:ascii="Times New Roman" w:hAnsi="Times New Roman"/>
          <w:b/>
          <w:i w:val="false"/>
          <w:color w:val="000000"/>
          <w:sz w:val="24"/>
        </w:rPr>
        <w:t>Параграф 4. Заземляющие устройства электроустановок напряжением выше 1 кВ в сетях с эффективно заземленной нейтралью</w:t>
      </w:r>
    </w:p>
    <w:bookmarkEnd w:id="736"/>
    <w:bookmarkStart w:name="637602192" w:id="7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184. Заземляющие устройства электроустановок напряжением выше 1 кВ сети с эффективно заземленной нейтралью выполняется с соблюдением требований либо к их сопротивлению в соответствии с пунктом 185 настоящих Правил, либо к напряжению прикосновения в соответствии с пунктом 187 настоящих Правил, а также с соблюдением требований к конструктивному выполнению в соответствии с пунктами 188 и 189 настоящих Правил и к ограничению напряжения на заземляющем устройстве согласно пункту 184 настоящих Правил. Требования пунктов 183–189 настоящих Правил не распространяются на заземляющие устройства опор ВЛ.</w:t>
      </w:r>
    </w:p>
    <w:bookmarkEnd w:id="737"/>
    <w:bookmarkStart w:name="637602193" w:id="7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185.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bookmarkEnd w:id="738"/>
    <w:bookmarkStart w:name="637602194" w:id="7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186.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и искусственных заземлителей.</w:t>
      </w:r>
    </w:p>
    <w:bookmarkEnd w:id="739"/>
    <w:bookmarkStart w:name="637602195" w:id="7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прокладываются продольные и поперечные горизонтальные заземлители и соединять их между собой в заземляющую сетку.</w:t>
      </w:r>
    </w:p>
    <w:bookmarkEnd w:id="740"/>
    <w:bookmarkStart w:name="637602196" w:id="7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фундаментами или основаниями двух рядов не превышает 3,0 м.</w:t>
      </w:r>
    </w:p>
    <w:bookmarkEnd w:id="741"/>
    <w:bookmarkStart w:name="637602197" w:id="7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187. Поперечные заземлители прокладываются в удобных местах между оборудованием на глубине 0,5–0,7 м от поверхности земли. Расстояние между ними принимается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p>
    <w:bookmarkEnd w:id="742"/>
    <w:bookmarkStart w:name="637602198" w:id="7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Горизонтальные заземлители прокладываются по краю территории, занимаемой заземляющим устройством, так, чтобы они в совокупности образовывали замкнутый контур.</w:t>
      </w:r>
    </w:p>
    <w:bookmarkEnd w:id="743"/>
    <w:bookmarkStart w:name="637602199" w:id="7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контур заземляющего устройства располагается в пределах внешнего ограждения электроустановки, то у входов и въездов на ее территорию выравнивается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bookmarkEnd w:id="744"/>
    <w:bookmarkStart w:name="637602200" w:id="7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188.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p>
    <w:bookmarkEnd w:id="745"/>
    <w:bookmarkStart w:name="637602201" w:id="7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значения допустимого напряжения прикосновения в качестве расчетного времени воздействия принимается сумма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в качестве расчетного времени воздействия принимается время действия резервной защиты, а для остальной территории – основной защиты.</w:t>
      </w:r>
    </w:p>
    <w:bookmarkEnd w:id="746"/>
    <w:bookmarkStart w:name="637602202" w:id="7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должны превышать 30 м, а глубина их заложения в грунт должна быть не менее 0,3 м. Для снижения напряжения прикосновения у рабочих мест в обоснованных случаях выполняется подсыпка щебня слоем толщиной 0,1–0,2 м.</w:t>
      </w:r>
    </w:p>
    <w:bookmarkEnd w:id="747"/>
    <w:bookmarkStart w:name="637602203" w:id="7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189.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пунктов 185 и 187 настоящих Правил:</w:t>
      </w:r>
    </w:p>
    <w:bookmarkEnd w:id="748"/>
    <w:bookmarkStart w:name="637602204" w:id="7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заземляющие проводники, присоединяющие оборудование или конструкции к заземлителю, в земле прокладывать на глубине не менее 0,3 м;</w:t>
      </w:r>
    </w:p>
    <w:bookmarkEnd w:id="749"/>
    <w:bookmarkStart w:name="637602205" w:id="7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p>
    <w:bookmarkEnd w:id="750"/>
    <w:bookmarkStart w:name="637602206" w:id="7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прокладываются на глубине не менее 1 м. Внешний контур заземляющего устройства в этом случае выполняется в виде многоугольника с тупыми или скругленными углами.</w:t>
      </w:r>
    </w:p>
    <w:bookmarkEnd w:id="751"/>
    <w:bookmarkStart w:name="637602207" w:id="7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190. Внешнюю ограду электроустановок не допускается присоеденение к заземляющему устройству. Если от электроустановки отходят ВЛ 110 кВ и выше, то ограда заземляется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bookmarkEnd w:id="752"/>
    <w:bookmarkStart w:name="637602208" w:id="7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p>
    <w:bookmarkEnd w:id="753"/>
    <w:bookmarkStart w:name="637602209" w:id="7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размещении электроприемников на внешней ограде их питание осуществляется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bookmarkEnd w:id="754"/>
    <w:bookmarkStart w:name="637602210" w:id="7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выполнение хотя бы одного из указанных мероприятий невозможно, то металлические части ограды присоединяются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C этой целью при выполнении заземляющего устройства по допустимому сопротивлению должен быть проложен с внешней стороны ограды, на расстоянии 1 м от нее и на глубине 1 м, горизонтальный заземлитель. Этот заземлитель присоединяется к заземляющему устройству не менее чем в четырех точках.</w:t>
      </w:r>
    </w:p>
    <w:bookmarkEnd w:id="755"/>
    <w:bookmarkStart w:name="637602211" w:id="7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191. Если заземляющее устройство электроустановки соединено с заземляющим устройством другой электроустановки кабелем с металлической оболочкой или броней или посредством других металлических связей, то для выравнивания потенциалов вокруг другой электроустановки или вокруг здания, в котором она размещена, необходимо соблюдение одного из следующих условий:</w:t>
      </w:r>
    </w:p>
    <w:bookmarkEnd w:id="756"/>
    <w:bookmarkStart w:name="637602212" w:id="7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укладка в землю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bookmarkEnd w:id="757"/>
    <w:bookmarkStart w:name="637602213" w:id="7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использование железобетонных фундаментов в качестве заземлителей в соответствии с пунктом 204 настоящих Правил, если при этом обеспечивается допустимый уровень выравнивания потенциалов.</w:t>
      </w:r>
    </w:p>
    <w:bookmarkEnd w:id="758"/>
    <w:bookmarkStart w:name="637602214" w:id="7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требуется выполнение условий, указанных в подпункте 1) и 2) пункта 189 настоящих Правил, если вокруг зданий имеются асфальтовые отмостки, в том числе у входов и въездов. Если у какого-либо входа (въезда) отмостка отсутствует, то у этого входа (въезда) должно быть выполнено выравнивание потенциалов путем укладки двух проводников, как указано в подпункте 1), или соблюдено условие подпункта 2) пункта 189 настоящих Правил. При этом, во всех случаях должны выполняться требования пункта 190 настоящих Правил.</w:t>
      </w:r>
    </w:p>
    <w:bookmarkEnd w:id="759"/>
    <w:bookmarkStart w:name="637602215" w:id="7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192. Во избежание выноса потенциала не допускается питание электроприемников, находящихся за пределами заземляющих устройств электроустановок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 При необходимости питание таких электроприемников осуществляется от трансформатора с изолированной нейтралью на стороне до 1 кВ по линии, выполненной кабелем без металлической оболочки и без брони, или по ВЛ.</w:t>
      </w:r>
    </w:p>
    <w:bookmarkEnd w:id="760"/>
    <w:bookmarkStart w:name="637602216" w:id="7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bookmarkEnd w:id="761"/>
    <w:bookmarkStart w:name="637602217" w:id="7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Питание таких электроприемников осуществляется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выше 1 кВ, должны иметь изоляцию от земли на расчетное значение напряжения на заземляющем устройстве.</w:t>
      </w:r>
    </w:p>
    <w:bookmarkEnd w:id="762"/>
    <w:bookmarkStart w:name="637602218" w:id="763"/>
    <w:p>
      <w:pPr>
        <w:spacing w:before="120" w:after="120" w:line="240"/>
        <w:ind w:left="0"/>
        <w:jc w:val="center"/>
      </w:pPr>
      <w:r>
        <w:rPr>
          <w:rFonts w:hint="default" w:ascii="Times New Roman" w:hAnsi="Times New Roman"/>
          <w:b/>
          <w:i w:val="false"/>
          <w:color w:val="000000"/>
          <w:sz w:val="24"/>
        </w:rPr>
        <w:t>Параграф 5. Заземляющие устройства электроустановок напряжением выше 1 кВ в сетях с изолированной нейтралью</w:t>
      </w:r>
    </w:p>
    <w:bookmarkEnd w:id="763"/>
    <w:bookmarkStart w:name="637602219" w:id="7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193. В электроустановках выше 1 кВ сети с изолированной нейтралью сопротивление заземляющего устройства R, Ом, при прохождении расчетного тока замыкания на землю в любое время года с учетом сопротивления естественных заземлителей должно быть:</w:t>
      </w:r>
    </w:p>
    <w:bookmarkEnd w:id="764"/>
    <w:bookmarkStart w:name="637602220" w:id="765"/>
    <w:p>
      <w:pPr>
        <w:spacing w:before="120" w:after="120" w:line="240"/>
        <w:ind w:left="0"/>
        <w:jc w:val="both"/>
      </w:pPr>
      <w:r>
        <w:rPr>
          <w:rFonts w:hint="default" w:ascii="Times New Roman" w:hAnsi="Times New Roman"/>
          <w:b w:val="false"/>
          <w:i w:val="false"/>
          <w:color w:val="000000"/>
          <w:sz w:val="24"/>
        </w:rPr>
        <w:t xml:space="preserve">R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250/I, но не более 10 Ом,</w:t>
      </w:r>
    </w:p>
    <w:bookmarkEnd w:id="765"/>
    <w:bookmarkStart w:name="637602221" w:id="7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где I – расчетный ток замыкания на землю, А.</w:t>
      </w:r>
    </w:p>
    <w:bookmarkEnd w:id="766"/>
    <w:bookmarkStart w:name="637602222" w:id="7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расчетного тока принимается:</w:t>
      </w:r>
    </w:p>
    <w:bookmarkEnd w:id="767"/>
    <w:bookmarkStart w:name="637602223" w:id="7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сетях без компенсации емкостных токов – полный ток замыкания на землю;</w:t>
      </w:r>
    </w:p>
    <w:bookmarkEnd w:id="768"/>
    <w:bookmarkStart w:name="637602224" w:id="7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сетях с компенсацией емкостных токов:</w:t>
      </w:r>
    </w:p>
    <w:bookmarkEnd w:id="769"/>
    <w:bookmarkStart w:name="637602225" w:id="7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заземляющих устройств, к которым присоединены компенсирующие аппараты, – ток, равный 125 % номинального тока наиболее мощного из этих аппаратов;</w:t>
      </w:r>
    </w:p>
    <w:bookmarkEnd w:id="770"/>
    <w:bookmarkStart w:name="637602226" w:id="7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bookmarkEnd w:id="771"/>
    <w:bookmarkStart w:name="637602227" w:id="7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bookmarkEnd w:id="772"/>
    <w:bookmarkStart w:name="637602228" w:id="7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194.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пункта 200 настоящих Правил.</w:t>
      </w:r>
    </w:p>
    <w:bookmarkEnd w:id="773"/>
    <w:bookmarkStart w:name="637602229" w:id="7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пункте 197 настоящих Правил либо к заземляющему устройству должны быть присоединены оболочки и броня не менее двух кабелей (любого напряжения) при общей протяженности этих кабелей не менее 1 км.</w:t>
      </w:r>
    </w:p>
    <w:bookmarkEnd w:id="774"/>
    <w:bookmarkStart w:name="637602230" w:id="7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195. Для подстанций напряжением 6–10/0,4 кВ должно быть выполнено одно общее заземляющее устройство, к которому должны быть присоединены:</w:t>
      </w:r>
    </w:p>
    <w:bookmarkEnd w:id="775"/>
    <w:bookmarkStart w:name="637602231" w:id="7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нейтраль трансформатора на стороне до 1 кВ;</w:t>
      </w:r>
    </w:p>
    <w:bookmarkEnd w:id="776"/>
    <w:bookmarkStart w:name="637602232" w:id="7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корпус трансформатора;</w:t>
      </w:r>
    </w:p>
    <w:bookmarkEnd w:id="777"/>
    <w:bookmarkStart w:name="637602233" w:id="7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металлические оболочки и броня кабелей;</w:t>
      </w:r>
    </w:p>
    <w:bookmarkEnd w:id="778"/>
    <w:bookmarkStart w:name="637602234" w:id="7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открытые проводящие части электроустановок напряжение до 1 кВ и выше;</w:t>
      </w:r>
    </w:p>
    <w:bookmarkEnd w:id="779"/>
    <w:bookmarkStart w:name="637602235" w:id="7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сторонние проводящие части.</w:t>
      </w:r>
    </w:p>
    <w:bookmarkEnd w:id="780"/>
    <w:bookmarkStart w:name="637602236" w:id="7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bookmarkEnd w:id="781"/>
    <w:bookmarkStart w:name="637602237" w:id="7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196.Заземляющее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пунктов 185 и 186 настоящих Правил.</w:t>
      </w:r>
    </w:p>
    <w:bookmarkEnd w:id="782"/>
    <w:bookmarkStart w:name="637602238" w:id="783"/>
    <w:p>
      <w:pPr>
        <w:spacing w:before="120" w:after="120" w:line="240"/>
        <w:ind w:left="0"/>
        <w:jc w:val="center"/>
      </w:pPr>
      <w:r>
        <w:rPr>
          <w:rFonts w:hint="default" w:ascii="Times New Roman" w:hAnsi="Times New Roman"/>
          <w:b/>
          <w:i w:val="false"/>
          <w:color w:val="000000"/>
          <w:sz w:val="24"/>
        </w:rPr>
        <w:t>Параграф 6. Заземляющие устройства электроустановок напряжением до 1 кВ в сетях с глухозаземленной нейтралью</w:t>
      </w:r>
    </w:p>
    <w:bookmarkEnd w:id="783"/>
    <w:bookmarkStart w:name="637602239" w:id="7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197.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w:t>
      </w:r>
    </w:p>
    <w:bookmarkEnd w:id="784"/>
    <w:bookmarkStart w:name="637602240" w:id="7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Искусственный заземлитель, предназначенный для заземления нейтрали, располагается вблизи генератора или трансформатора. Для внутрицеховых подстанций допускается располагать заземлитель около стены здания.</w:t>
      </w:r>
    </w:p>
    <w:bookmarkEnd w:id="785"/>
    <w:bookmarkStart w:name="637602241" w:id="7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фундамент здания, в котором размещается подстанция, используется в качестве естественных заземлителей, нейтраль трансформатора заземляется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bookmarkEnd w:id="786"/>
    <w:bookmarkStart w:name="637602242" w:id="7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должно быть учтено при определении сопротивления заземляющего устройства, к которому присоединена нейтраль трансформатора.</w:t>
      </w:r>
    </w:p>
    <w:bookmarkEnd w:id="787"/>
    <w:bookmarkStart w:name="637602243" w:id="7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bookmarkEnd w:id="788"/>
    <w:bookmarkStart w:name="637602244" w:id="7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 проводнике, соединяющем нейтраль трансформатора или генератора с нулевой шиной распределительного устройства, установлен трансформатор тока, то заземляющий проводник должен быть присоединен не к нейтрали трансформатора или генератора непосредственно, а к нулевому проводнику, сразу за трансформатором тока. Также за трансформатором тока должно быть выполнено присоединение нулевого защитного проводника в случае работы электроустановки в системе с разделением нулевого рабочего и нулевого защитного проводников.</w:t>
      </w:r>
    </w:p>
    <w:bookmarkEnd w:id="789"/>
    <w:bookmarkStart w:name="637602245" w:id="7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 тока необходимо размещать ближе к выводу нейтрали генератора (трансформатора).</w:t>
      </w:r>
    </w:p>
    <w:bookmarkEnd w:id="790"/>
    <w:bookmarkStart w:name="637602246" w:id="7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198.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эаземлителей повторных заземлений нулевого провода ВЛ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bookmarkEnd w:id="791"/>
    <w:bookmarkStart w:name="637602247" w:id="7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удельном сопротивлении земли с &gt; 100 Ом допускается увеличивать указанные выше нормы в 0,01 с раз, но не более десятикратного.</w:t>
      </w:r>
    </w:p>
    <w:bookmarkEnd w:id="792"/>
    <w:bookmarkStart w:name="637602248" w:id="7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199. На концах ВЛ (или ответвлений от них) длиной более 200 м, а также на вводах от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нулевого рабочего провода. При этом, в первую очередь, используются естественные заземлители, (подземные части опор, а также заземляющие устройства, выполненные для защиты от грозовых перенапряжений).</w:t>
      </w:r>
    </w:p>
    <w:bookmarkEnd w:id="793"/>
    <w:bookmarkStart w:name="637602249" w:id="7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повторные заземления выполняются, если более частые заземления не требуются по условиям защиты от грозовых перенапряжений.</w:t>
      </w:r>
    </w:p>
    <w:bookmarkEnd w:id="794"/>
    <w:bookmarkStart w:name="637602250" w:id="7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используются для повторного заземления нулевого рабочего провода.</w:t>
      </w:r>
    </w:p>
    <w:bookmarkEnd w:id="795"/>
    <w:bookmarkStart w:name="637602251" w:id="7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Заземляющие проводники для повторных заземлений нулевого провода должны иметь размеры не менее приведенных в таблице 45 приложения к настоящим Правилам.</w:t>
      </w:r>
    </w:p>
    <w:bookmarkEnd w:id="796"/>
    <w:bookmarkStart w:name="637602252" w:id="7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200. Общее сопротивление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заземлителя каждого из повторных заземлений должно быть не более 15, 30 и 60 Ом соответственно при тех же напряжениях.</w:t>
      </w:r>
    </w:p>
    <w:bookmarkEnd w:id="797"/>
    <w:bookmarkStart w:name="637602253" w:id="7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удельном сопротивлении земли с &gt; 100 Ом допускается увеличивать указанные нормы в 0,01 с раз, но не более десятикратного.</w:t>
      </w:r>
    </w:p>
    <w:bookmarkEnd w:id="798"/>
    <w:bookmarkStart w:name="637602254" w:id="799"/>
    <w:p>
      <w:pPr>
        <w:spacing w:before="120" w:after="120" w:line="240"/>
        <w:ind w:left="0"/>
        <w:jc w:val="center"/>
      </w:pPr>
      <w:r>
        <w:rPr>
          <w:rFonts w:hint="default" w:ascii="Times New Roman" w:hAnsi="Times New Roman"/>
          <w:b/>
          <w:i w:val="false"/>
          <w:color w:val="000000"/>
          <w:sz w:val="24"/>
        </w:rPr>
        <w:t>Параграф 7. Заземляющие устройства электроустановок напряжением до 1 кВ в сетях с изолированной нейтралью</w:t>
      </w:r>
    </w:p>
    <w:bookmarkEnd w:id="799"/>
    <w:bookmarkStart w:name="637602255" w:id="8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201. Сопротивление заземляющего устройства, используемого для защитного заземления открытых проводящих частей в сетях до 1 кВ с изолированной нейтралью, должно соответствовать условию:</w:t>
      </w:r>
    </w:p>
    <w:bookmarkEnd w:id="800"/>
    <w:bookmarkStart w:name="637602256" w:id="801"/>
    <w:p>
      <w:pPr>
        <w:spacing w:before="120" w:after="120" w:line="240"/>
        <w:ind w:left="0"/>
        <w:jc w:val="both"/>
      </w:pPr>
      <w:r>
        <w:rPr>
          <w:rFonts w:hint="default" w:ascii="Times New Roman" w:hAnsi="Times New Roman"/>
          <w:b w:val="false"/>
          <w:i w:val="false"/>
          <w:color w:val="000000"/>
          <w:sz w:val="24"/>
        </w:rPr>
        <w:t xml:space="preserve">R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U</w:t>
      </w:r>
      <w:r>
        <w:rPr>
          <w:rFonts w:hint="default" w:ascii="Times New Roman" w:hAnsi="Times New Roman"/>
          <w:b w:val="false"/>
          <w:i w:val="false"/>
          <w:color w:val="000000"/>
          <w:vertAlign w:val="subscript"/>
        </w:rPr>
        <w:t>пр</w:t>
      </w:r>
      <w:r>
        <w:rPr>
          <w:rFonts w:hint="default" w:ascii="Times New Roman" w:hAnsi="Times New Roman"/>
          <w:b w:val="false"/>
          <w:i w:val="false"/>
          <w:color w:val="000000"/>
          <w:sz w:val="24"/>
        </w:rPr>
        <w:t xml:space="preserve"> /I,</w:t>
      </w:r>
    </w:p>
    <w:bookmarkEnd w:id="801"/>
    <w:bookmarkStart w:name="637602257" w:id="802"/>
    <w:p>
      <w:pPr>
        <w:spacing w:before="120" w:after="120" w:line="240"/>
        <w:ind w:left="0"/>
        <w:jc w:val="both"/>
      </w:pPr>
      <w:r>
        <w:rPr>
          <w:rFonts w:hint="default" w:ascii="Times New Roman" w:hAnsi="Times New Roman"/>
          <w:b w:val="false"/>
          <w:i w:val="false"/>
          <w:color w:val="000000"/>
          <w:sz w:val="24"/>
        </w:rPr>
        <w:t>где R – сопротивление заземляющего устройства, Ом U</w:t>
      </w:r>
      <w:r>
        <w:rPr>
          <w:rFonts w:hint="default" w:ascii="Times New Roman" w:hAnsi="Times New Roman"/>
          <w:b w:val="false"/>
          <w:i w:val="false"/>
          <w:color w:val="000000"/>
          <w:vertAlign w:val="subscript"/>
        </w:rPr>
        <w:t>пр</w:t>
      </w:r>
      <w:r>
        <w:rPr>
          <w:rFonts w:hint="default" w:ascii="Times New Roman" w:hAnsi="Times New Roman"/>
          <w:b w:val="false"/>
          <w:i w:val="false"/>
          <w:color w:val="000000"/>
          <w:sz w:val="24"/>
        </w:rPr>
        <w:t xml:space="preserve"> – напряжение прикосновения, значение которого принимается равным 42 В I – полный ток замыкания на землю, А.</w:t>
      </w:r>
    </w:p>
    <w:bookmarkEnd w:id="802"/>
    <w:bookmarkStart w:name="637602258" w:id="8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мощности трансформаторов или генераторов, не превышающей 100 кВ*А, допускается сопротивление заземляющего устройства до 10 Ом. Это значение сопротивления также допускается для нескольких генераторов (трансформаторов), работающих параллельно, при их суммарной мощности не более 100 кВ*А.</w:t>
      </w:r>
    </w:p>
    <w:bookmarkEnd w:id="803"/>
    <w:bookmarkStart w:name="637602259" w:id="804"/>
    <w:p>
      <w:pPr>
        <w:spacing w:before="120" w:after="120" w:line="240"/>
        <w:ind w:left="0"/>
        <w:jc w:val="center"/>
      </w:pPr>
      <w:r>
        <w:rPr>
          <w:rFonts w:hint="default" w:ascii="Times New Roman" w:hAnsi="Times New Roman"/>
          <w:b/>
          <w:i w:val="false"/>
          <w:color w:val="000000"/>
          <w:sz w:val="24"/>
        </w:rPr>
        <w:t>Параграф 8. Заземляющие устройства в районах с большим предельным сопротивлением земли</w:t>
      </w:r>
    </w:p>
    <w:bookmarkEnd w:id="804"/>
    <w:bookmarkStart w:name="637602260" w:id="8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202. Заземляющие устройства электроустановок напряжением выше 1 кВ с эффективно заземленной нейтралью в районах с большим удельным сопротивлением земли выполняется с соблюдением требований, предъявляемых к напряжению прикосновения.</w:t>
      </w:r>
    </w:p>
    <w:bookmarkEnd w:id="805"/>
    <w:bookmarkStart w:name="637602261" w:id="8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скальных структурах допускается прокладывать горизонтальные заземлители на меньшей глубине, чем в пунктах 188–190 настоящих Правил, но не менее чем 0,15 м. Кроме того, допускается не выполнять требуемых в пункте 185 настоящих Правил вертикальных заземлителей у входов и въездов.</w:t>
      </w:r>
    </w:p>
    <w:bookmarkEnd w:id="806"/>
    <w:bookmarkStart w:name="637602262" w:id="8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203. При сооружении искусственных заземлителей в районах с большим удельным сопротивлением земли выполняются следующие мероприятия:</w:t>
      </w:r>
    </w:p>
    <w:bookmarkEnd w:id="807"/>
    <w:bookmarkStart w:name="637602263" w:id="8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отсутствуют;</w:t>
      </w:r>
    </w:p>
    <w:bookmarkEnd w:id="808"/>
    <w:bookmarkStart w:name="637602264" w:id="8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устройство выносных заземлителей, если вблизи (до 2 км) от электроустановки есть места с меньшим удельным сопротивлением земли;</w:t>
      </w:r>
    </w:p>
    <w:bookmarkEnd w:id="809"/>
    <w:bookmarkStart w:name="637602265" w:id="8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bookmarkEnd w:id="810"/>
    <w:bookmarkStart w:name="637602266" w:id="8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bookmarkEnd w:id="811"/>
    <w:bookmarkStart w:name="637602267" w:id="8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204. В электроустановках напряжением выше 1 кВ, а также до 1 кВ с изолированной нейтралью для земли с удельным сопротивлением более 500 Ом, если мероприятия, предусмотренные в пунктах 201–202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0,002с раз, где с – эквивалентное удельное сопротивление земли Ом. При этом, увеличение требуемых настоящей главой сопротивлений заземляющих устройств должно быть не более десятикратного.</w:t>
      </w:r>
    </w:p>
    <w:bookmarkEnd w:id="812"/>
    <w:bookmarkStart w:name="637602268" w:id="813"/>
    <w:p>
      <w:pPr>
        <w:spacing w:before="120" w:after="120" w:line="240"/>
        <w:ind w:left="0"/>
        <w:jc w:val="center"/>
      </w:pPr>
      <w:r>
        <w:rPr>
          <w:rFonts w:hint="default" w:ascii="Times New Roman" w:hAnsi="Times New Roman"/>
          <w:b/>
          <w:i w:val="false"/>
          <w:color w:val="000000"/>
          <w:sz w:val="24"/>
        </w:rPr>
        <w:t>Параграф 9. Заземлители</w:t>
      </w:r>
    </w:p>
    <w:bookmarkEnd w:id="813"/>
    <w:bookmarkStart w:name="637602269" w:id="8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205. В качестве естественных заземлителей могут быть использованы:</w:t>
      </w:r>
    </w:p>
    <w:bookmarkEnd w:id="814"/>
    <w:bookmarkStart w:name="637602270" w:id="8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металлические и железобетонные конструкции зданий и сооружений, находящиеся в соприкосновении с землей, в том числе железобетонные фундаменты, имеющие защитные гидроизоляционные покрытия в неагрессивных, слабоагрессивных и среднеагрессивных средах;</w:t>
      </w:r>
    </w:p>
    <w:bookmarkEnd w:id="815"/>
    <w:bookmarkStart w:name="637602271" w:id="8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металлические трубы водопровода, проложенные в земле;</w:t>
      </w:r>
    </w:p>
    <w:bookmarkEnd w:id="816"/>
    <w:bookmarkStart w:name="637602272" w:id="8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обсадные трубы буровых скважин;</w:t>
      </w:r>
    </w:p>
    <w:bookmarkEnd w:id="817"/>
    <w:bookmarkStart w:name="637602273" w:id="8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металлические шпунты гидротехнических сооружений, водоводы, закладные части затворов;</w:t>
      </w:r>
    </w:p>
    <w:bookmarkEnd w:id="818"/>
    <w:bookmarkStart w:name="637602274" w:id="8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рельсовые пути магистральных неэлектрифицированных железных дорог и подъездные рельсовые пути при наличии преднамеренно установленных перемычек между рельсами;</w:t>
      </w:r>
    </w:p>
    <w:bookmarkEnd w:id="819"/>
    <w:bookmarkStart w:name="637602275" w:id="8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другие, находящиеся в земле, металлические конструкции и сооружения;</w:t>
      </w:r>
    </w:p>
    <w:bookmarkEnd w:id="820"/>
    <w:bookmarkStart w:name="637602276" w:id="8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металлические оболочки бронированных кабелей, проложенных в земле оболочки кабелей могут служить естественными заземлителями при количестве кабелей не менее двух.</w:t>
      </w:r>
    </w:p>
    <w:bookmarkEnd w:id="821"/>
    <w:bookmarkStart w:name="637602277" w:id="8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использовать в качестве заземлителей алюминиевые оболочки кабелей.</w:t>
      </w:r>
    </w:p>
    <w:bookmarkEnd w:id="822"/>
    <w:bookmarkStart w:name="637602278" w:id="8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206. Не допускается использовать в качестве заземлителей трубопроводы канализации и центрального отопления, трубопроводы горючих жидкостей, горючих или взрывоопасных газов и смесей.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пунктом 178 настоящих Правил.</w:t>
      </w:r>
    </w:p>
    <w:bookmarkEnd w:id="823"/>
    <w:bookmarkStart w:name="637602279" w:id="8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используются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bookmarkEnd w:id="824"/>
    <w:bookmarkStart w:name="637602280" w:id="8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зданий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bookmarkEnd w:id="825"/>
    <w:bookmarkStart w:name="637602281" w:id="8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207. Искусственные заземлители могут быть выполнены из черной или оцинкованной стали или медными.</w:t>
      </w:r>
    </w:p>
    <w:bookmarkEnd w:id="826"/>
    <w:bookmarkStart w:name="637602282" w:id="8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Искусственные заземлители не должны быть окрашены.</w:t>
      </w:r>
    </w:p>
    <w:bookmarkEnd w:id="827"/>
    <w:bookmarkStart w:name="637602283" w:id="8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Материал и наименьшие размеры заземлителей должны соответствовать приведенным в таблице 45 приложения к настоящим Правилам.</w:t>
      </w:r>
    </w:p>
    <w:bookmarkEnd w:id="828"/>
    <w:bookmarkStart w:name="637602284" w:id="829"/>
    <w:p>
      <w:pPr>
        <w:spacing w:before="120" w:after="120" w:line="240"/>
        <w:ind w:left="0"/>
        <w:jc w:val="both"/>
      </w:pPr>
      <w:r>
        <w:rPr>
          <w:rFonts w:hint="default" w:ascii="Times New Roman" w:hAnsi="Times New Roman"/>
          <w:b w:val="false"/>
          <w:i w:val="false"/>
          <w:color w:val="000000"/>
          <w:sz w:val="24"/>
        </w:rPr>
        <w:t>208. Сечение горизонтальных заземлителей для электроустановок напряжением выше 1 кВ выбирается по условию термической стойкости при допустимой температуре нагрева 400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(кратковременный нагрев, соответствующий времени действия защиты и отключения выключателя).</w:t>
      </w:r>
    </w:p>
    <w:bookmarkEnd w:id="829"/>
    <w:bookmarkStart w:name="637602285" w:id="8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опасности коррозии заземляющих устройств необходимо либо увеличить сечения заземлителей и заземляющих проводников с учетом расчетного срока их службы, либо применить заземлители и заземляющие проводники с гальваническим покрытием или медные.</w:t>
      </w:r>
    </w:p>
    <w:bookmarkEnd w:id="830"/>
    <w:bookmarkStart w:name="637602286" w:id="8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учитывается возможное увеличение сопротивления заземляющих устройств, обусловленное коррозией.</w:t>
      </w:r>
    </w:p>
    <w:bookmarkEnd w:id="831"/>
    <w:bookmarkStart w:name="637602287" w:id="8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Траншеи для горизонтальных заземлителей должны заполняться однородным грунтом, не содержащим щебня и строительного мусора.</w:t>
      </w:r>
    </w:p>
    <w:bookmarkEnd w:id="832"/>
    <w:bookmarkStart w:name="637602288" w:id="8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используются заземлители в местах, где земля подсушивается под действием тепла трубопроводов.</w:t>
      </w:r>
    </w:p>
    <w:bookmarkEnd w:id="833"/>
    <w:bookmarkStart w:name="637602289" w:id="834"/>
    <w:p>
      <w:pPr>
        <w:spacing w:before="120" w:after="120" w:line="240"/>
        <w:ind w:left="0"/>
        <w:jc w:val="center"/>
      </w:pPr>
      <w:r>
        <w:rPr>
          <w:rFonts w:hint="default" w:ascii="Times New Roman" w:hAnsi="Times New Roman"/>
          <w:b/>
          <w:i w:val="false"/>
          <w:color w:val="000000"/>
          <w:sz w:val="24"/>
        </w:rPr>
        <w:t>Параграф 10. Заземляющие проводники</w:t>
      </w:r>
    </w:p>
    <w:bookmarkEnd w:id="834"/>
    <w:bookmarkStart w:name="637602290" w:id="8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209. Сечения заземляющих проводников в электроустановках напряжением до 1 кВ должны соответствовать требованиям пункта 217 настоящих Правил к защитным проводникам.</w:t>
      </w:r>
    </w:p>
    <w:bookmarkEnd w:id="835"/>
    <w:bookmarkStart w:name="637602291" w:id="8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Наименьшие сечения заземляющих проводников, проложенных в земле, должны соответствовать приведенным в таблице 45 приложения к настоящим Правилам.</w:t>
      </w:r>
    </w:p>
    <w:bookmarkEnd w:id="836"/>
    <w:bookmarkStart w:name="637602292" w:id="8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в земле алюминиевых неизолированных проводников не допускается.</w:t>
      </w:r>
    </w:p>
    <w:bookmarkEnd w:id="837"/>
    <w:bookmarkStart w:name="637602293" w:id="838"/>
    <w:p>
      <w:pPr>
        <w:spacing w:before="120" w:after="120" w:line="240"/>
        <w:ind w:left="0"/>
        <w:jc w:val="both"/>
      </w:pPr>
      <w:r>
        <w:rPr>
          <w:rFonts w:hint="default" w:ascii="Times New Roman" w:hAnsi="Times New Roman"/>
          <w:b w:val="false"/>
          <w:i w:val="false"/>
          <w:color w:val="000000"/>
          <w:sz w:val="24"/>
        </w:rPr>
        <w:t>210.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(кратковременный нагрев, соответствующий полному времени действия защиты и отключения выключателя).</w:t>
      </w:r>
    </w:p>
    <w:bookmarkEnd w:id="838"/>
    <w:bookmarkStart w:name="637602294" w:id="839"/>
    <w:p>
      <w:pPr>
        <w:spacing w:before="120" w:after="120" w:line="240"/>
        <w:ind w:left="0"/>
        <w:jc w:val="both"/>
      </w:pPr>
      <w:r>
        <w:rPr>
          <w:rFonts w:hint="default" w:ascii="Times New Roman" w:hAnsi="Times New Roman"/>
          <w:b w:val="false"/>
          <w:i w:val="false"/>
          <w:color w:val="000000"/>
          <w:sz w:val="24"/>
        </w:rPr>
        <w:t>В электроустановках напряжением выше 1 кВ с изолированной нейтралью проводимость заземляющих проводников сечением до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меди или равноценным ему из других материалов должна составлять не менее </w:t>
      </w: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3</w:t>
      </w:r>
      <w:r>
        <w:rPr>
          <w:rFonts w:hint="default" w:ascii="Times New Roman" w:hAnsi="Times New Roman"/>
          <w:b w:val="false"/>
          <w:i w:val="false"/>
          <w:color w:val="000000"/>
          <w:sz w:val="24"/>
        </w:rPr>
        <w:t xml:space="preserve"> проводимости фазных проводников. Не требуется применение медных проводников сечением более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алюминиевых –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стальных – 120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839"/>
    <w:bookmarkStart w:name="637602295" w:id="8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211.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является главная заземляющая шина. Отсоединение заземляющего проводника должно быть возможно при помощи инструмента.</w:t>
      </w:r>
    </w:p>
    <w:bookmarkEnd w:id="840"/>
    <w:bookmarkStart w:name="637602296" w:id="841"/>
    <w:p>
      <w:pPr>
        <w:spacing w:before="120" w:after="120" w:line="240"/>
        <w:ind w:left="0"/>
        <w:jc w:val="both"/>
      </w:pPr>
      <w:r>
        <w:rPr>
          <w:rFonts w:hint="default" w:ascii="Times New Roman" w:hAnsi="Times New Roman"/>
          <w:b w:val="false"/>
          <w:i w:val="false"/>
          <w:color w:val="000000"/>
          <w:sz w:val="24"/>
        </w:rPr>
        <w:t>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алюминиевый –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стальной – 75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841"/>
    <w:bookmarkStart w:name="637602297" w:id="8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мест ввода заземляющих проводников в здание должен быть предусмотрен опознавательный знак.</w:t>
      </w:r>
    </w:p>
    <w:bookmarkEnd w:id="842"/>
    <w:bookmarkStart w:name="637602298" w:id="843"/>
    <w:p>
      <w:pPr>
        <w:spacing w:before="120" w:after="120" w:line="240"/>
        <w:ind w:left="0"/>
        <w:jc w:val="center"/>
      </w:pPr>
      <w:r>
        <w:rPr>
          <w:rFonts w:hint="default" w:ascii="Times New Roman" w:hAnsi="Times New Roman"/>
          <w:b/>
          <w:i w:val="false"/>
          <w:color w:val="000000"/>
          <w:sz w:val="24"/>
        </w:rPr>
        <w:t>Параграф 11. Главная заземляющая шина</w:t>
      </w:r>
    </w:p>
    <w:bookmarkEnd w:id="843"/>
    <w:bookmarkStart w:name="637602299" w:id="8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212. Главная заземляющая шина выполняется внутри вводного устройства электроустановки или отдельно от него.</w:t>
      </w:r>
    </w:p>
    <w:bookmarkEnd w:id="844"/>
    <w:bookmarkStart w:name="637602300" w:id="8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Внутри вводного устройства в качестве главной заземляющей шины используется нулевая защитная шина.</w:t>
      </w:r>
    </w:p>
    <w:bookmarkEnd w:id="845"/>
    <w:bookmarkStart w:name="637602301" w:id="8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отдельной установке главная заземляющая шина располагается в доступном, удобном для обслуживания месте вблизи вводного устройства.</w:t>
      </w:r>
    </w:p>
    <w:bookmarkEnd w:id="846"/>
    <w:bookmarkStart w:name="637602302" w:id="8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Сечение отдельно установленной главной заземляющей шины должно быть не менее сечения нулевого проводника питающей линии.</w:t>
      </w:r>
    </w:p>
    <w:bookmarkEnd w:id="847"/>
    <w:bookmarkStart w:name="637602303" w:id="8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Главная заземляющая шина должна выполняется из меди. Допускается применение в этих целях стали. Применение алюминия не допускается.</w:t>
      </w:r>
    </w:p>
    <w:bookmarkEnd w:id="848"/>
    <w:bookmarkStart w:name="637602304" w:id="8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конструкции шины должна быть предусмотрена возможность индивидуального отсоединения присоединенных к ней проводников. Отсоединение должно быть возможно только с использованием инструмента.</w:t>
      </w:r>
    </w:p>
    <w:bookmarkEnd w:id="849"/>
    <w:bookmarkStart w:name="637602305" w:id="8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доступных только квалифицированному персоналу, главная заземляющая шина устанавливается открыто. В местах, доступных посторонним лицам, она должна быть помещена в шкаф (ящик) с запираемой на ключ дверцей.</w:t>
      </w:r>
    </w:p>
    <w:bookmarkEnd w:id="850"/>
    <w:bookmarkStart w:name="637602306" w:id="8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дверце или на стене над шиной должен быть нанесен опознавательный знак.</w:t>
      </w:r>
    </w:p>
    <w:bookmarkEnd w:id="851"/>
    <w:bookmarkStart w:name="637602307" w:id="8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213. Если здание имеет несколько обособленных вводов, главная заземляющая шина должна быть выполнена для каждого вводного устройства.</w:t>
      </w:r>
    </w:p>
    <w:bookmarkEnd w:id="852"/>
    <w:bookmarkStart w:name="637602308" w:id="8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встроенных трансформаторных подстанций главная заземляющая шина должна устанавливаться возле каждой из них. В этом случае все установленные заземляющие шины должны быть соединены проводником уравнивания потенциалов, сечение которого должно быть не менее половины сечения нулевого 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проводящие части, если они соответствуют требованиям к непрерывности и проводимости электрической цепи.</w:t>
      </w:r>
    </w:p>
    <w:bookmarkEnd w:id="853"/>
    <w:bookmarkStart w:name="637602309" w:id="854"/>
    <w:p>
      <w:pPr>
        <w:spacing w:before="120" w:after="120" w:line="240"/>
        <w:ind w:left="0"/>
        <w:jc w:val="center"/>
      </w:pPr>
      <w:r>
        <w:rPr>
          <w:rFonts w:hint="default" w:ascii="Times New Roman" w:hAnsi="Times New Roman"/>
          <w:b/>
          <w:i w:val="false"/>
          <w:color w:val="000000"/>
          <w:sz w:val="24"/>
        </w:rPr>
        <w:t>Параграф 12. Нулевые защитные проводники</w:t>
      </w:r>
    </w:p>
    <w:bookmarkEnd w:id="854"/>
    <w:bookmarkStart w:name="637602310" w:id="8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214. В качестве нулевых защитных проводников в электроустановках напряжение до 1 кВ могут использоваться:</w:t>
      </w:r>
    </w:p>
    <w:bookmarkEnd w:id="855"/>
    <w:bookmarkStart w:name="637602311" w:id="8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специально предусмотренные проводники:</w:t>
      </w:r>
    </w:p>
    <w:bookmarkEnd w:id="856"/>
    <w:bookmarkStart w:name="637602312" w:id="8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жилы многожильных кабелей;</w:t>
      </w:r>
    </w:p>
    <w:bookmarkEnd w:id="857"/>
    <w:bookmarkStart w:name="637602313" w:id="8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изолированные и неизолированные провода в общей оболочке с фазными проводами;</w:t>
      </w:r>
    </w:p>
    <w:bookmarkEnd w:id="858"/>
    <w:bookmarkStart w:name="637602314" w:id="8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стационарно проложенные изолированные или неизолированные проводники;</w:t>
      </w:r>
    </w:p>
    <w:bookmarkEnd w:id="859"/>
    <w:bookmarkStart w:name="637602315" w:id="8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открытые проводящие части электроустановок:</w:t>
      </w:r>
    </w:p>
    <w:bookmarkEnd w:id="860"/>
    <w:bookmarkStart w:name="637602316" w:id="8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алюминиевые оболочки кабелей;</w:t>
      </w:r>
    </w:p>
    <w:bookmarkEnd w:id="861"/>
    <w:bookmarkStart w:name="637602317" w:id="8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стальные трубы электропроводок;</w:t>
      </w:r>
    </w:p>
    <w:bookmarkEnd w:id="862"/>
    <w:bookmarkStart w:name="637602318" w:id="8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оболочки и опорные конструкции шинопроводов и комплектных устройств заводского изготовления;</w:t>
      </w:r>
    </w:p>
    <w:bookmarkEnd w:id="863"/>
    <w:bookmarkStart w:name="637602319" w:id="8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короба и лотки электропроводок разрешается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bookmarkEnd w:id="864"/>
    <w:bookmarkStart w:name="637602320" w:id="8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конструкции зданий (фермы, колонны);</w:t>
      </w:r>
    </w:p>
    <w:bookmarkEnd w:id="865"/>
    <w:bookmarkStart w:name="637602321" w:id="8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некоторые сторонние проводящие части:</w:t>
      </w:r>
    </w:p>
    <w:bookmarkEnd w:id="866"/>
    <w:bookmarkStart w:name="637602322" w:id="8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строительные конструкции зданий и сооружений (фермы, колонны);</w:t>
      </w:r>
    </w:p>
    <w:bookmarkEnd w:id="867"/>
    <w:bookmarkStart w:name="637602323" w:id="8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арматура железобетонных строительных конструкций зданий при условии выполнения требований пункта 214 настоящего пункта;</w:t>
      </w:r>
    </w:p>
    <w:bookmarkEnd w:id="868"/>
    <w:bookmarkStart w:name="637602324" w:id="8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конструкции производственного назначения (подкрановые рельсы, галереи, площадки, шахты лифтов, подъемников и элеваторов, обрамления каналов).</w:t>
      </w:r>
    </w:p>
    <w:bookmarkEnd w:id="869"/>
    <w:bookmarkStart w:name="637602325" w:id="8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215. Использование открытых и сторонних проводящих частей в качестве защитных проводников допускается, если они отвечают требованиям настоящей главы к проводимости и, если обеспечена непрерывность электрической цепи на всем протяжении.</w:t>
      </w:r>
    </w:p>
    <w:bookmarkEnd w:id="870"/>
    <w:bookmarkStart w:name="637602326" w:id="8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Сторонние проводящие части могут быть использованы в качестве защитных проводников, если они, отвечают одновременно следующим требованиям:</w:t>
      </w:r>
    </w:p>
    <w:bookmarkEnd w:id="871"/>
    <w:bookmarkStart w:name="637602327" w:id="8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непрерывность электрической цепи обеспечивается либо конструкцией, либо соответствующими соединениями, защищенными от механических, химических и других повреждений;</w:t>
      </w:r>
    </w:p>
    <w:bookmarkEnd w:id="872"/>
    <w:bookmarkStart w:name="637602328" w:id="8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демонтаж этих частей не допускается, если не предусмотрены меры по сохранению непрерывности цепи и ее проводимости.</w:t>
      </w:r>
    </w:p>
    <w:bookmarkEnd w:id="873"/>
    <w:bookmarkStart w:name="637602329" w:id="8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216. Не допускается использовать в качестве защитных проводников:</w:t>
      </w:r>
    </w:p>
    <w:bookmarkEnd w:id="874"/>
    <w:bookmarkStart w:name="637602330" w:id="8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bookmarkEnd w:id="875"/>
    <w:bookmarkStart w:name="637602331" w:id="8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трубопроводы газоснабжения и другие трубопроводы горючих и взрывоопасных веществ и смесей, трубы канализации и центрального отопления;</w:t>
      </w:r>
    </w:p>
    <w:bookmarkEnd w:id="876"/>
    <w:bookmarkStart w:name="637602332" w:id="8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водопроводные трубы при наличии в них изолирующих вставок.</w:t>
      </w:r>
    </w:p>
    <w:bookmarkEnd w:id="877"/>
    <w:bookmarkStart w:name="637602333" w:id="8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217. Не допускается использовать нулевые защитные проводники одних цепей для зануления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bookmarkEnd w:id="878"/>
    <w:bookmarkStart w:name="637602334" w:id="8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использовать специально проложенные защитные проводники для других целей.</w:t>
      </w:r>
    </w:p>
    <w:bookmarkEnd w:id="879"/>
    <w:bookmarkStart w:name="637602335" w:id="8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218. Наименьшие сечения защитных проводников должны соответствовать таблице 46 приложения к настоящим Правилам.</w:t>
      </w:r>
    </w:p>
    <w:bookmarkEnd w:id="880"/>
    <w:bookmarkStart w:name="637602336" w:id="8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w:t>
      </w:r>
    </w:p>
    <w:bookmarkEnd w:id="881"/>
    <w:bookmarkStart w:name="637602337" w:id="882"/>
    <w:p>
      <w:pPr>
        <w:spacing w:before="120" w:after="120" w:line="240"/>
        <w:ind w:left="0"/>
        <w:jc w:val="both"/>
      </w:pPr>
      <w:r>
        <w:rPr>
          <w:rFonts w:hint="default" w:ascii="Times New Roman" w:hAnsi="Times New Roman"/>
          <w:b w:val="false"/>
          <w:i w:val="false"/>
          <w:color w:val="000000"/>
          <w:sz w:val="24"/>
        </w:rPr>
        <w:t xml:space="preserve">Допускается, при необходимости, принимать сечение защитного проводника менее требуемых, если оно рассчитано (только для времени отключения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5 с) по формуле:</w:t>
      </w:r>
    </w:p>
    <w:bookmarkEnd w:id="882"/>
    <w:bookmarkStart w:name="637602338" w:id="883"/>
    <w:p>
      <w:pPr>
        <w:spacing w:before="120" w:after="120" w:line="240"/>
        <w:ind w:left="0"/>
        <w:jc w:val="center"/>
      </w:pPr>
      <w:r>
        <w:drawing>
          <wp:inline distT="0" distB="0" distL="0" distR="0">
            <wp:extent cx="80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00100" cy="571500"/>
                    </a:xfrm>
                    <a:prstGeom prst="rect">
                      <a:avLst/>
                    </a:prstGeom>
                  </pic:spPr>
                </pic:pic>
              </a:graphicData>
            </a:graphic>
          </wp:inline>
        </w:drawing>
      </w:r>
    </w:p>
    <w:bookmarkEnd w:id="883"/>
    <w:bookmarkStart w:name="637602339" w:id="884"/>
    <w:p>
      <w:pPr>
        <w:spacing w:before="120" w:after="120" w:line="240"/>
        <w:ind w:left="0"/>
        <w:jc w:val="both"/>
      </w:pPr>
      <w:r>
        <w:rPr>
          <w:b w:val="false"/>
          <w:i w:val="false"/>
          <w:color w:val="000000"/>
          <w:sz w:val="24"/>
        </w:rPr>
        <w:t> </w:t>
      </w:r>
      <w:r>
        <w:br/>
      </w:r>
      <w:r>
        <w:rPr>
          <w:b w:val="false"/>
          <w:i w:val="false"/>
          <w:color w:val="000000"/>
          <w:sz w:val="24"/>
        </w:rPr>
        <w:t>
 где S – площадь поперечного сечения защитного проводника, мм</w:t>
      </w:r>
      <w:r>
        <w:rPr>
          <w:b w:val="false"/>
          <w:i w:val="false"/>
          <w:color w:val="000000"/>
          <w:vertAlign w:val="superscript"/>
        </w:rPr>
        <w:t>2</w:t>
      </w:r>
      <w:r>
        <w:rPr>
          <w:b w:val="false"/>
          <w:i w:val="false"/>
          <w:color w:val="000000"/>
          <w:sz w:val="24"/>
        </w:rPr>
        <w:t xml:space="preserve"> ; I – ток короткого замыкания, обеспечивающий время отключения цепи защитным аппаратом в соответствии с таблицей 43 и 44 приложения настоящих Правил или за время не более 5 секунд в соответствии с пунктом 174 настоящих Правил, А t – время срабатывания защитного аппарата, с k – коэффициент, значение которого зависит от материала защитного проводника, его изоляции, начальной и конечной температур. Значение k для защитных проводников в различных условиях приведены в таблице 47–50 приложения к настоящим Правилам.</w:t>
      </w:r>
    </w:p>
    <w:bookmarkEnd w:id="884"/>
    <w:bookmarkStart w:name="637602340" w:id="8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при расчете получается сечение, отличное от приведенного в таблице 46 приложения к настоящим Правилам, то выбирается ближайшее большее значение, а при получении нестандартного сечения – применять проводники ближайшего большего стандартного сечения.</w:t>
      </w:r>
    </w:p>
    <w:bookmarkEnd w:id="885"/>
    <w:bookmarkStart w:name="637602341" w:id="8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разделом 3 настоящих Правил.</w:t>
      </w:r>
    </w:p>
    <w:bookmarkEnd w:id="886"/>
    <w:bookmarkStart w:name="637602342" w:id="8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219. Во всех случаях сечение медных защитных проводников, не входящих в состав кабеля или проложенных не в общей оболочке (трубе, коробе), не на одном лотке с фазными проводниками, должно быть не менее:</w:t>
      </w:r>
    </w:p>
    <w:bookmarkEnd w:id="887"/>
    <w:bookmarkStart w:name="637602343" w:id="888"/>
    <w:p>
      <w:pPr>
        <w:spacing w:before="120" w:after="120" w:line="240"/>
        <w:ind w:left="0"/>
        <w:jc w:val="both"/>
      </w:pPr>
      <w:r>
        <w:rPr>
          <w:rFonts w:hint="default" w:ascii="Times New Roman" w:hAnsi="Times New Roman"/>
          <w:b w:val="false"/>
          <w:i w:val="false"/>
          <w:color w:val="000000"/>
          <w:sz w:val="24"/>
        </w:rPr>
        <w:t>1)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при наличии механической защиты;</w:t>
      </w:r>
    </w:p>
    <w:bookmarkEnd w:id="888"/>
    <w:bookmarkStart w:name="637602344" w:id="889"/>
    <w:p>
      <w:pPr>
        <w:spacing w:before="120" w:after="120" w:line="240"/>
        <w:ind w:left="0"/>
        <w:jc w:val="both"/>
      </w:pPr>
      <w:r>
        <w:rPr>
          <w:rFonts w:hint="default" w:ascii="Times New Roman" w:hAnsi="Times New Roman"/>
          <w:b w:val="false"/>
          <w:i w:val="false"/>
          <w:color w:val="000000"/>
          <w:sz w:val="24"/>
        </w:rPr>
        <w:t>02) 4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при отсутствии механической защиты.</w:t>
      </w:r>
    </w:p>
    <w:bookmarkEnd w:id="889"/>
    <w:bookmarkStart w:name="637602345" w:id="890"/>
    <w:p>
      <w:pPr>
        <w:spacing w:before="120" w:after="120" w:line="240"/>
        <w:ind w:left="0"/>
        <w:jc w:val="both"/>
      </w:pPr>
      <w:r>
        <w:rPr>
          <w:rFonts w:hint="default" w:ascii="Times New Roman" w:hAnsi="Times New Roman"/>
          <w:b w:val="false"/>
          <w:i w:val="false"/>
          <w:color w:val="000000"/>
          <w:sz w:val="24"/>
        </w:rPr>
        <w:t>Сечение отдельно проложенных защитных алюминиевых проводников должно быть не менее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890"/>
    <w:bookmarkStart w:name="637602346" w:id="8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220. В электроустановках напряжением до 1 кВ с глухозаземленной нейтралью для обеспечения требований пункта 217 настоящих Правил нулевые защитные проводники прокладываются совместно или в непосредственной близости с фазными проводниками.</w:t>
      </w:r>
    </w:p>
    <w:bookmarkEnd w:id="891"/>
    <w:bookmarkStart w:name="637602347" w:id="8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221.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нулевые защитные проводники должны иметь изоляцию, равноценную изоляции фазных проводников.</w:t>
      </w:r>
    </w:p>
    <w:bookmarkEnd w:id="892"/>
    <w:bookmarkStart w:name="637602348" w:id="8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222. Неизолированные защитные проводники должны быть защищены от коррозии. В местах пересечения проводников с кабелями, трубопроводами, железнодорожными путями, в местах их ввода в здания и в других местах, где возможны механические повреждения защитных проводников, проводники должны быть защищены.</w:t>
      </w:r>
    </w:p>
    <w:bookmarkEnd w:id="893"/>
    <w:bookmarkStart w:name="637602349" w:id="8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пересечения температурных и осадочных швов должна быть предусмотрена компенсация длины защитных проводников.</w:t>
      </w:r>
    </w:p>
    <w:bookmarkEnd w:id="894"/>
    <w:bookmarkStart w:name="637602350" w:id="895"/>
    <w:p>
      <w:pPr>
        <w:spacing w:before="120" w:after="120" w:line="240"/>
        <w:ind w:left="0"/>
        <w:jc w:val="center"/>
      </w:pPr>
      <w:r>
        <w:rPr>
          <w:rFonts w:hint="default" w:ascii="Times New Roman" w:hAnsi="Times New Roman"/>
          <w:b/>
          <w:i w:val="false"/>
          <w:color w:val="000000"/>
          <w:sz w:val="24"/>
        </w:rPr>
        <w:t>Параграф 13. Совмещенные нулевые защитные и нулевые рабочие проводники</w:t>
      </w:r>
    </w:p>
    <w:bookmarkEnd w:id="895"/>
    <w:bookmarkStart w:name="637602351" w:id="896"/>
    <w:p>
      <w:pPr>
        <w:spacing w:before="120" w:after="120" w:line="240"/>
        <w:ind w:left="0"/>
        <w:jc w:val="both"/>
      </w:pPr>
      <w:r>
        <w:rPr>
          <w:rFonts w:hint="default" w:ascii="Times New Roman" w:hAnsi="Times New Roman"/>
          <w:b w:val="false"/>
          <w:i w:val="false"/>
          <w:color w:val="000000"/>
          <w:sz w:val="24"/>
        </w:rPr>
        <w:t>223. В многофазных цепях с глухозаземленной нейтралью и занулением открытых проводящих частей для стационарно проложенных кабелей, жилы которых имеют сечение не менее 10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меди или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алюминию, функции нулевого защитного и нулевого рабочего проводников могут быть совмещены в одном проводнике.</w:t>
      </w:r>
    </w:p>
    <w:bookmarkEnd w:id="896"/>
    <w:bookmarkStart w:name="637602352" w:id="8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224. Не допускается совмещение функций нулевого защитного и нулевого рабочего проводников в цепях однофазного и постоянного тока.</w:t>
      </w:r>
    </w:p>
    <w:bookmarkEnd w:id="897"/>
    <w:bookmarkStart w:name="637602353" w:id="8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bookmarkEnd w:id="898"/>
    <w:bookmarkStart w:name="637602354" w:id="8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225. Не допускается использование сторонних проводящих частей в качестве совмещенного нулевого проводника. Разрешается использовать открытые и сторонние проводящие части в качестве дополнительного совмещенного проводника при присоединении их к системе уравнивания потенциалов.</w:t>
      </w:r>
    </w:p>
    <w:bookmarkEnd w:id="899"/>
    <w:bookmarkStart w:name="637602355" w:id="9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226. Специально предусмотренные совмещенные нулевые проводники должны соответствовать требованиям пункта 217 настоящих Правил к сечению защитных проводников, а также к нулевому рабочему проводнику.</w:t>
      </w:r>
    </w:p>
    <w:bookmarkEnd w:id="900"/>
    <w:bookmarkStart w:name="637602356" w:id="9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совмещенных нулевых проводников должна быть равноценна изоляции фазных проводников. Не требуется изолировать нулевую шину сборных шин комплектных устройств напряжением до 1 кВ.</w:t>
      </w:r>
    </w:p>
    <w:bookmarkEnd w:id="901"/>
    <w:bookmarkStart w:name="637602357" w:id="9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227. Когда нулевой защитный и нулевой рабочий проводники разделяются, начиная с какой-либо точки электроустановки, не допускается объединять их за этой точкой по ходу распределения электроэнергии. В месте разделения проводников необходимо предусмотреть отдельные зажимы или шины для разделяемых проводников. Совмещенный нулевой проводник питающей линии должен быть подключен к зажиму (шине) нулевого защитного проводника.</w:t>
      </w:r>
    </w:p>
    <w:bookmarkEnd w:id="902"/>
    <w:bookmarkStart w:name="637602358" w:id="903"/>
    <w:p>
      <w:pPr>
        <w:spacing w:before="120" w:after="120" w:line="240"/>
        <w:ind w:left="0"/>
        <w:jc w:val="center"/>
      </w:pPr>
      <w:r>
        <w:rPr>
          <w:rFonts w:hint="default" w:ascii="Times New Roman" w:hAnsi="Times New Roman"/>
          <w:b/>
          <w:i w:val="false"/>
          <w:color w:val="000000"/>
          <w:sz w:val="24"/>
        </w:rPr>
        <w:t>Параграф 14. Проводники системы уравнивания потенциалов</w:t>
      </w:r>
    </w:p>
    <w:bookmarkEnd w:id="903"/>
    <w:bookmarkStart w:name="637602359" w:id="9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228. В качестве проводников системы уравнивания потенциалов могут быть использованы открытые и сторонние проводящие части, указанные в пункте 213 настоящих Правил, или специально проложенные проводники, или их сочетание.</w:t>
      </w:r>
    </w:p>
    <w:bookmarkEnd w:id="904"/>
    <w:bookmarkStart w:name="637602360" w:id="905"/>
    <w:p>
      <w:pPr>
        <w:spacing w:before="120" w:after="120" w:line="240"/>
        <w:ind w:left="0"/>
        <w:jc w:val="both"/>
      </w:pPr>
      <w:r>
        <w:rPr>
          <w:rFonts w:hint="default" w:ascii="Times New Roman" w:hAnsi="Times New Roman"/>
          <w:b w:val="false"/>
          <w:i w:val="false"/>
          <w:color w:val="000000"/>
          <w:sz w:val="24"/>
        </w:rPr>
        <w:t>229.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меди или равноценное ему из других материалов. Сечение проводников основной системы уравнивания потенциалов в любом случае должно быть не менее медных – 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алюминиевых –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стальных – 50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905"/>
    <w:bookmarkStart w:name="637602361" w:id="9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230. Сечение проводников дополнительной системы уравнивания потенциалов должно быть не менее:</w:t>
      </w:r>
    </w:p>
    <w:bookmarkEnd w:id="906"/>
    <w:bookmarkStart w:name="637602362" w:id="9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соединении двух открытых проводящих частей – сечения меньшего из защитных проводников, подключенным к этим частям;</w:t>
      </w:r>
    </w:p>
    <w:bookmarkEnd w:id="907"/>
    <w:bookmarkStart w:name="637602363" w:id="9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bookmarkEnd w:id="908"/>
    <w:bookmarkStart w:name="637602364" w:id="9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Сечения проводников дополнительного уравнивания потенциалов, не входящих в состав кабеля, должны соответствовать требованиям пункта 218 настоящих Правил.</w:t>
      </w:r>
    </w:p>
    <w:bookmarkEnd w:id="909"/>
    <w:bookmarkStart w:name="637602365" w:id="910"/>
    <w:p>
      <w:pPr>
        <w:spacing w:before="120" w:after="120" w:line="240"/>
        <w:ind w:left="0"/>
        <w:jc w:val="center"/>
      </w:pPr>
      <w:r>
        <w:rPr>
          <w:rFonts w:hint="default" w:ascii="Times New Roman" w:hAnsi="Times New Roman"/>
          <w:b/>
          <w:i w:val="false"/>
          <w:color w:val="000000"/>
          <w:sz w:val="24"/>
        </w:rPr>
        <w:t>Параграф 15. Соединения заземляющих и защитных проводников</w:t>
      </w:r>
    </w:p>
    <w:bookmarkEnd w:id="910"/>
    <w:bookmarkStart w:name="637602366" w:id="9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231.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выполняются посредством сварки.</w:t>
      </w:r>
    </w:p>
    <w:bookmarkEnd w:id="911"/>
    <w:bookmarkStart w:name="637602367" w:id="9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Соединения должны быть защищены от коррозии и механических повреждений.</w:t>
      </w:r>
    </w:p>
    <w:bookmarkEnd w:id="912"/>
    <w:bookmarkStart w:name="637602368" w:id="9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болтовых соединений должны быть предусмотрены меры против ослабления контакта.</w:t>
      </w:r>
    </w:p>
    <w:bookmarkEnd w:id="913"/>
    <w:bookmarkStart w:name="637602369" w:id="9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232. Соединения должны быть, доступны для осмотра и выполнения испытаний. Исключение составляют соединения, выполненные конструктивно закрытыми (герметизированные, заполненные компаундом), а также соединения в системах обогрева, размещенные в полах, стенах, перекрытиях и в земле.</w:t>
      </w:r>
    </w:p>
    <w:bookmarkEnd w:id="914"/>
    <w:bookmarkStart w:name="637602370" w:id="9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233. При применении устройств контроля непрерывности цепи заземления не допускается разъединять защитные проводники.</w:t>
      </w:r>
    </w:p>
    <w:bookmarkEnd w:id="915"/>
    <w:bookmarkStart w:name="637602371" w:id="9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234. Присоединение заземляющих и защитных проводников к открытым проводящим частям должно быть выполнено при помощи болтовых соединений или сварки. Присоединение таких проводников к частям оборудования, подвергающегося частому демонтажу или установленного на движущихся либо подверженных сотрясениям и вибрации основаниях, должно выполняться при помощи гибких проводников.</w:t>
      </w:r>
    </w:p>
    <w:bookmarkEnd w:id="916"/>
    <w:bookmarkStart w:name="637602372" w:id="9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Соединения защитных проводников электропроводок и ВЛ выполняются теми же методами, что и соединения фазных проводников.</w:t>
      </w:r>
    </w:p>
    <w:bookmarkEnd w:id="917"/>
    <w:bookmarkStart w:name="637602373" w:id="9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235. Места и способы присоединения заземляющих проводников к протяженным естественным заземлителям должны быть выбраны такими, чтобы при разъединении заземлителей для ремонтных работ ожидаемые величины напряжения прикосновения и расчетные значения сопротивления заземляющего устройства не превышали безопасных значений.</w:t>
      </w:r>
    </w:p>
    <w:bookmarkEnd w:id="918"/>
    <w:bookmarkStart w:name="637602374" w:id="9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Шунтирование водомеров, задвижек выполняется проводником соответствующего сечения в зависимости от того, как используется трубопровод в качестве защитного проводника системы уравнивания потенциалов, нулевого защитного проводника или защитного заземляющего проводника.</w:t>
      </w:r>
    </w:p>
    <w:bookmarkEnd w:id="919"/>
    <w:bookmarkStart w:name="637602375" w:id="9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236. Присоединение каждой открытой проводящей части электроустановки к нулевому защитному или защитному заземляющему проводнику должно быть выполено при помощи отдельного ответвления. Последовательное включение в защитный проводник открытых проводящих частей не допускается.</w:t>
      </w:r>
    </w:p>
    <w:bookmarkEnd w:id="920"/>
    <w:bookmarkStart w:name="637602376" w:id="9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проводящих частей к основной системе уравнивания потенциалов должно быть выполнено при помощи отдельных ответвлений.</w:t>
      </w:r>
    </w:p>
    <w:bookmarkEnd w:id="921"/>
    <w:bookmarkStart w:name="637602377" w:id="9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проводящих частей к дополнительной системе уравнивания потенциалов выполняется как при помощи отдельных ответвлений, так и присоединением к одному неразъемному проводнику.</w:t>
      </w:r>
    </w:p>
    <w:bookmarkEnd w:id="922"/>
    <w:bookmarkStart w:name="637602378" w:id="9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237. Не допускается включать коммутационные аппараты в цепи защитных проводников, за исключением случаев питания электроприемников при помощи штепсельных соединителей.</w:t>
      </w:r>
    </w:p>
    <w:bookmarkEnd w:id="923"/>
    <w:bookmarkStart w:name="637602379" w:id="9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Одновременное отключение всех проводников допускается на вводе в электроустановки индивидуальных жилых, дачных домов и аналогичных им объектов, питающихся по однофазным ответвлениям от ВЛ. При этом, разделение нулевого проводника на защитный и рабочий должно быть выполнено до вводного коммутационного аппарата.</w:t>
      </w:r>
    </w:p>
    <w:bookmarkEnd w:id="924"/>
    <w:bookmarkStart w:name="637602380" w:id="9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238. При использовании штепсельного соединителя, одновременно разъединяющего фазный и защитный проводники, розетка и вилка штепсельного соединителя должны иметь специальные защитные контакты для присоединения к ним защитных проводников.</w:t>
      </w:r>
    </w:p>
    <w:bookmarkEnd w:id="925"/>
    <w:bookmarkStart w:name="637602381" w:id="9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корпус штепсельной розетки выполнен из металла, он должен быть присоединен к защитному контакту розетки.</w:t>
      </w:r>
    </w:p>
    <w:bookmarkEnd w:id="926"/>
    <w:bookmarkStart w:name="637602382" w:id="927"/>
    <w:p>
      <w:pPr>
        <w:spacing w:before="120" w:after="120" w:line="240"/>
        <w:ind w:left="0"/>
        <w:jc w:val="center"/>
      </w:pPr>
      <w:r>
        <w:rPr>
          <w:rFonts w:hint="default" w:ascii="Times New Roman" w:hAnsi="Times New Roman"/>
          <w:b/>
          <w:i w:val="false"/>
          <w:color w:val="000000"/>
          <w:sz w:val="24"/>
        </w:rPr>
        <w:t>Параграф 16. Переносные электроприемники</w:t>
      </w:r>
    </w:p>
    <w:bookmarkEnd w:id="927"/>
    <w:bookmarkStart w:name="637602383" w:id="9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239. К переносным элетроприемникам относятся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w:t>
      </w:r>
    </w:p>
    <w:bookmarkEnd w:id="928"/>
    <w:bookmarkStart w:name="637602384" w:id="9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240. Питание переносных электроприемников выполняется от сети напряжением не выше 380/220 В.</w:t>
      </w:r>
    </w:p>
    <w:bookmarkEnd w:id="929"/>
    <w:bookmarkStart w:name="637602385" w:id="9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зависимости от категории помещения по уровню опасности поражения людей электрическим током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малое напряжение, двойная изоляция.</w:t>
      </w:r>
    </w:p>
    <w:bookmarkEnd w:id="930"/>
    <w:bookmarkStart w:name="637602386" w:id="9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241.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заземлены или занулены, для чего должен быть предусмотрен специальный защитный 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Защитный проводник должен быть гибким, выполнен из меди, его сечение должно быть равным сечению фазных проводников. Использование для этой цели нулевого рабочего проводника, в том числе расположенного в общей оболочке с фазными проводниками, не допускается.</w:t>
      </w:r>
    </w:p>
    <w:bookmarkEnd w:id="931"/>
    <w:bookmarkStart w:name="637602387" w:id="9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242. Допускается применять стационарные и отдельные переносные защитные проводники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пунктов 213–221 настоящих Правил, а переносные проводники должны быть гибкими, выполнены из меди и иметь сечение не меньше, чем у фазных проводников.</w:t>
      </w:r>
    </w:p>
    <w:bookmarkEnd w:id="932"/>
    <w:bookmarkStart w:name="637602388" w:id="9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243.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розетки внутренней установки, к которым могут быть подключены переносные электроприемники, используемые вне зданий либо в помещениях с повышенной опасностью и особо опасных, защищаются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bookmarkEnd w:id="933"/>
    <w:bookmarkStart w:name="637602389" w:id="9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защитного электрического разделения цепей в особо опасных помещениях каждая розетка должна питаться от индивидуального разделительного трансформатора или от его отдельной обмотки.</w:t>
      </w:r>
    </w:p>
    <w:bookmarkEnd w:id="934"/>
    <w:bookmarkStart w:name="637602390" w:id="9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малого напряжения питание переносных электроприемников должно осуществляться от безопасного разделительного трансформатора.</w:t>
      </w:r>
    </w:p>
    <w:bookmarkEnd w:id="935"/>
    <w:bookmarkStart w:name="637602391" w:id="9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244. Для присоединения переносных электроприемников к питающей сети применяются штепсельные соединители, соответствующие требованиям пункта 237 настоящих Правил. При этом, проводник со стороны источника питания должен быть присоединен к розетке, а со стороны электроприемника – к вилке.</w:t>
      </w:r>
    </w:p>
    <w:bookmarkEnd w:id="936"/>
    <w:bookmarkStart w:name="637602392" w:id="9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245. УЗО розеточных цепей размещают в распределительных (групповых, квартирных) щитках.</w:t>
      </w:r>
    </w:p>
    <w:bookmarkEnd w:id="937"/>
    <w:bookmarkStart w:name="637602393" w:id="9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УЗО-розеток.</w:t>
      </w:r>
    </w:p>
    <w:bookmarkEnd w:id="938"/>
    <w:bookmarkStart w:name="637602394" w:id="9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246. Защитные проводники переносных проводов и кабелей должны быть обозначены желто-зелеными полосами.</w:t>
      </w:r>
    </w:p>
    <w:bookmarkEnd w:id="939"/>
    <w:bookmarkStart w:name="637602395" w:id="940"/>
    <w:p>
      <w:pPr>
        <w:spacing w:before="120" w:after="120" w:line="240"/>
        <w:ind w:left="0"/>
        <w:jc w:val="center"/>
      </w:pPr>
      <w:r>
        <w:rPr>
          <w:rFonts w:hint="default" w:ascii="Times New Roman" w:hAnsi="Times New Roman"/>
          <w:b/>
          <w:i w:val="false"/>
          <w:color w:val="000000"/>
          <w:sz w:val="24"/>
        </w:rPr>
        <w:t>Параграф 17. Передвижные электроустановки</w:t>
      </w:r>
    </w:p>
    <w:bookmarkEnd w:id="940"/>
    <w:bookmarkStart w:name="637602396" w:id="9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247. Требования к передвижным электроустановкам не распространяются на:</w:t>
      </w:r>
    </w:p>
    <w:bookmarkEnd w:id="941"/>
    <w:bookmarkStart w:name="637602397" w:id="9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судовые электроустановки;</w:t>
      </w:r>
    </w:p>
    <w:bookmarkEnd w:id="942"/>
    <w:bookmarkStart w:name="637602398" w:id="9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электрооборудование, размещенное на движущихся частях станков, машин и механизмов;</w:t>
      </w:r>
    </w:p>
    <w:bookmarkEnd w:id="943"/>
    <w:bookmarkStart w:name="637602399" w:id="9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электрифицированный транспорт;</w:t>
      </w:r>
    </w:p>
    <w:bookmarkEnd w:id="944"/>
    <w:bookmarkStart w:name="637602400" w:id="9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жилые автофургоны.</w:t>
      </w:r>
    </w:p>
    <w:bookmarkEnd w:id="945"/>
    <w:bookmarkStart w:name="637602401" w:id="9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248. Передвижные электроустановки могут получать питание от стационарных или автономных передвижных источников электроэнергии. В качестве автономных источников подразумеваются такие источники, которые позволяют осуществлять питание потребителей независимо от стационарных источников электроэнергии.</w:t>
      </w:r>
    </w:p>
    <w:bookmarkEnd w:id="946"/>
    <w:bookmarkStart w:name="637602402" w:id="9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Питание передвижных электроустановок от стационарной электрической сети выполняются от источника с глухозаземленной нейтралью с разделением нулевых рабочего и защитного проводников. Разделение этих проводников должно быть выполнено в точке подключения установки к источнику питания. Объединение этих проводников внутри передвижной электроустановки не допускается.</w:t>
      </w:r>
    </w:p>
    <w:bookmarkEnd w:id="947"/>
    <w:bookmarkStart w:name="637602403" w:id="9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питании передвижной электроустановки от автономного источника его нейтраль должна быть изолирована.</w:t>
      </w:r>
    </w:p>
    <w:bookmarkEnd w:id="948"/>
    <w:bookmarkStart w:name="637602404" w:id="9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249.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bookmarkEnd w:id="949"/>
    <w:bookmarkStart w:name="637602405" w:id="9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250. Для защиты при косвенном прикосновении в передвижных электроустановках, питающихся от стационарного источника питания, должно быть выполнено автоматическое отключение питания с применением устройства защиты от сверхтоков. При этом, время отключения, приведенное в таблице 43 приложения к настоящим Правилам,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bookmarkEnd w:id="950"/>
    <w:bookmarkStart w:name="637602406" w:id="9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специальных электроустановках допускается применение УЗО, реагирующих на потенциал корпуса относительно земли. В этом случае уставка по значению отключающего напряжения должна быть равной 25 В при времени отключения не более 5 секунд.</w:t>
      </w:r>
    </w:p>
    <w:bookmarkEnd w:id="951"/>
    <w:bookmarkStart w:name="637602407" w:id="9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251.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этого УЗО должен быть на 1–2 ступени больше соответствующего тока УЗО, установленного на вводе в передвижную электроустановку.</w:t>
      </w:r>
    </w:p>
    <w:bookmarkEnd w:id="952"/>
    <w:bookmarkStart w:name="637602408" w:id="9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на вводе в передвижную электроустановку применяется защитное электрическое разделение цепей в соответствии с пунктом 182 настоящих Правил. При этом, разделительный трансформатор, а также вводное защитное устройство должны быть помещены в изолирующую оболочку.</w:t>
      </w:r>
    </w:p>
    <w:bookmarkEnd w:id="953"/>
    <w:bookmarkStart w:name="637602409" w:id="9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Устройство присоединения ввода питания в передвижную электроустановку должно иметь двойную изоляцию.</w:t>
      </w:r>
    </w:p>
    <w:bookmarkEnd w:id="954"/>
    <w:bookmarkStart w:name="637602410" w:id="9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252. При применении автоматического отключения питания в сети с изолированной нейтралью для защиты при косвенном прикосновении в передвижных электроустановках должны быть выполнены:</w:t>
      </w:r>
    </w:p>
    <w:bookmarkEnd w:id="955"/>
    <w:bookmarkStart w:name="637602411" w:id="9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защитное заземление в сочетании с непрерывным контролем изоляции, действующим на сигнал;</w:t>
      </w:r>
    </w:p>
    <w:bookmarkEnd w:id="956"/>
    <w:bookmarkStart w:name="637602412" w:id="9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автоматическое отключение питания, обеспечивающее время отключения при двухфазном замыкании на открытые проводящие части в соответствии с таблице 51 приложения к настоящим Правилам.</w:t>
      </w:r>
    </w:p>
    <w:bookmarkEnd w:id="957"/>
    <w:bookmarkStart w:name="637602413" w:id="9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с устройством непрерывного контроля изоляции, действующим на отключение, или, в соответствии с пунктом 250 настоящих Правил, в сочетании с УЗО, реагирующим на потенциал корпуса относительно земли.</w:t>
      </w:r>
    </w:p>
    <w:bookmarkEnd w:id="958"/>
    <w:bookmarkStart w:name="637602414" w:id="9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253. На вводе в передвижную электроустановку должна быть предусмотрена главная шина уравнивания потенциалов, соответствующая требованиям пункта 212 настоящих Правил к главной заземляющей шине, к которой должны быть присоединены:</w:t>
      </w:r>
    </w:p>
    <w:bookmarkEnd w:id="959"/>
    <w:bookmarkStart w:name="637602415" w:id="9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защитный проводник питающей линии;</w:t>
      </w:r>
    </w:p>
    <w:bookmarkEnd w:id="960"/>
    <w:bookmarkStart w:name="637602416" w:id="9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защитный проводник передвижной электроустановки с присоединенными к нему защитными проводниками открытых проводящих частей;</w:t>
      </w:r>
    </w:p>
    <w:bookmarkEnd w:id="961"/>
    <w:bookmarkStart w:name="637602417" w:id="9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проводники уравнивания потенциалов корпуса и других сторонних проводящих частей передвижной электроустановки;</w:t>
      </w:r>
    </w:p>
    <w:bookmarkEnd w:id="962"/>
    <w:bookmarkStart w:name="637602418" w:id="9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заземляющий проводник, присоединенный к местному заземлителю передвижной электроустановки (при его наличии).</w:t>
      </w:r>
    </w:p>
    <w:bookmarkEnd w:id="963"/>
    <w:bookmarkStart w:name="637602419" w:id="9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bookmarkEnd w:id="964"/>
    <w:bookmarkStart w:name="637602420" w:id="9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254. Защитное заземление передвижной электроустановки с изолированной нейтралью 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bookmarkEnd w:id="965"/>
    <w:bookmarkStart w:name="637602421" w:id="9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заземляющего устройства с соблюдением требований к его сопротивлению значение сопротивления не должно превышать 25 Ом. Допускается повышение указанного сопротивления в соответствии с пунктом 203 настоящих Правил.</w:t>
      </w:r>
    </w:p>
    <w:bookmarkEnd w:id="966"/>
    <w:bookmarkStart w:name="637602422" w:id="9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заземляющего устройства с соблюдением требований к напряжению прикосновения сопротивление заземляющего устройство не нормируется. В этом случае должно быть выполнено условие:</w:t>
      </w:r>
    </w:p>
    <w:bookmarkEnd w:id="967"/>
    <w:bookmarkStart w:name="637602423" w:id="968"/>
    <w:p>
      <w:pPr>
        <w:spacing w:before="120" w:after="120" w:line="240"/>
        <w:ind w:left="0"/>
        <w:jc w:val="center"/>
      </w:pPr>
      <w:r>
        <w:rPr>
          <w:rFonts w:hint="default" w:ascii="Times New Roman" w:hAnsi="Times New Roman"/>
          <w:b w:val="false"/>
          <w:i w:val="false"/>
          <w:color w:val="000000"/>
          <w:sz w:val="24"/>
        </w:rPr>
        <w:t>R</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25/I</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w:t>
      </w:r>
    </w:p>
    <w:bookmarkEnd w:id="968"/>
    <w:bookmarkStart w:name="637602424" w:id="969"/>
    <w:p>
      <w:pPr>
        <w:spacing w:before="120" w:after="120" w:line="240"/>
        <w:ind w:left="0"/>
        <w:jc w:val="both"/>
      </w:pPr>
      <w:r>
        <w:rPr>
          <w:b w:val="false"/>
          <w:i w:val="false"/>
          <w:color w:val="000000"/>
          <w:sz w:val="24"/>
        </w:rPr>
        <w:t> </w:t>
      </w:r>
      <w:r>
        <w:br/>
      </w:r>
      <w:r>
        <w:rPr>
          <w:b w:val="false"/>
          <w:i w:val="false"/>
          <w:color w:val="000000"/>
          <w:sz w:val="24"/>
        </w:rPr>
        <w:t>
 где R</w:t>
      </w:r>
      <w:r>
        <w:rPr>
          <w:b w:val="false"/>
          <w:i w:val="false"/>
          <w:color w:val="000000"/>
          <w:vertAlign w:val="subscript"/>
        </w:rPr>
        <w:t>з</w:t>
      </w:r>
      <w:r>
        <w:rPr>
          <w:b w:val="false"/>
          <w:i w:val="false"/>
          <w:color w:val="000000"/>
          <w:sz w:val="24"/>
        </w:rPr>
        <w:t xml:space="preserve"> – сопротивление заземляющего устройства передвижной электроустановки, Ом I</w:t>
      </w:r>
      <w:r>
        <w:rPr>
          <w:b w:val="false"/>
          <w:i w:val="false"/>
          <w:color w:val="000000"/>
          <w:vertAlign w:val="subscript"/>
        </w:rPr>
        <w:t>з</w:t>
      </w:r>
      <w:r>
        <w:rPr>
          <w:b w:val="false"/>
          <w:i w:val="false"/>
          <w:color w:val="000000"/>
          <w:sz w:val="24"/>
        </w:rPr>
        <w:t xml:space="preserve"> – полный ток однофазного замыкания на открытые проводящие части передвижной электроустановки, А.</w:t>
      </w:r>
    </w:p>
    <w:bookmarkEnd w:id="969"/>
    <w:bookmarkStart w:name="637602425" w:id="9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255.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bookmarkEnd w:id="970"/>
    <w:bookmarkStart w:name="637602426" w:id="9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автономный источник питания и электроприемники расположены непосредственно на передвижной электроустановке, их корпуса соединены между собой защитным проводником, а от источника не питаются другие электроустановки;</w:t>
      </w:r>
    </w:p>
    <w:bookmarkEnd w:id="971"/>
    <w:bookmarkStart w:name="637602427" w:id="9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корпус электрооборудования в передвижной электроустановке обеспечивается время автоматического отключения питания в соответствии с таблицей 52 приложения к настоящим Правилам.</w:t>
      </w:r>
    </w:p>
    <w:bookmarkEnd w:id="972"/>
    <w:bookmarkStart w:name="637602428" w:id="9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256.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bookmarkEnd w:id="973"/>
    <w:bookmarkStart w:name="637602429" w:id="9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не устанавливать устройство непрерывного контроля сопротивления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пункта 254 настоящих Правил.</w:t>
      </w:r>
    </w:p>
    <w:bookmarkEnd w:id="974"/>
    <w:bookmarkStart w:name="637602430" w:id="9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257. Защита от прямого прикосновения в передвижных электроустановках должна быть обеспечена применением основной изоляции токоведущих частей, ограждений и оболочек. Применение барьеров и размещение вне пределов досягаемости не допускаются.</w:t>
      </w:r>
    </w:p>
    <w:bookmarkEnd w:id="975"/>
    <w:bookmarkStart w:name="637602431" w:id="9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цепях, питающих штепсельные розетки для подключения электроприемников вне помещения передвижной электроустановки, должна быть выполнена дополнительная защита в соответствии с пунктом 242 настоящих Правил.</w:t>
      </w:r>
    </w:p>
    <w:bookmarkEnd w:id="976"/>
    <w:bookmarkStart w:name="637602432" w:id="9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258. Защитные проводники передвижной электроустановки должны быть гибкими, выполнены из меди и, находиться в общей оболочке с фазными проводниками. Сечение проводников должно соответствовать требованиям:</w:t>
      </w:r>
    </w:p>
    <w:bookmarkEnd w:id="977"/>
    <w:bookmarkStart w:name="637602433" w:id="9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нулевых – пунктам 217–218 настоящих Правил;</w:t>
      </w:r>
    </w:p>
    <w:bookmarkEnd w:id="978"/>
    <w:bookmarkStart w:name="637602434" w:id="9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заземляющих – пункту 208 настоящих Правил;</w:t>
      </w:r>
    </w:p>
    <w:bookmarkEnd w:id="979"/>
    <w:bookmarkStart w:name="637602435" w:id="9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уравнивания потенциалов – пунктов 227–229 настоящих Правил.</w:t>
      </w:r>
    </w:p>
    <w:bookmarkEnd w:id="980"/>
    <w:bookmarkStart w:name="637602436" w:id="9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передвижных электроустановках с изолированной нейтралью допускается прокладка защитных проводников отдельно от фазных.</w:t>
      </w:r>
    </w:p>
    <w:bookmarkEnd w:id="981"/>
    <w:bookmarkStart w:name="637602437" w:id="9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259.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bookmarkEnd w:id="982"/>
    <w:bookmarkStart w:name="637602438" w:id="9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260. Если передвижная электроустановка питается с использованием штепсельных соединителей, вилка соединителя должна быть подключена со стороны передвижной электроустановки и иметь оболочку из изолирующего материала.</w:t>
      </w:r>
    </w:p>
    <w:bookmarkEnd w:id="983"/>
    <w:bookmarkStart w:name="637602439" w:id="984"/>
    <w:p>
      <w:pPr>
        <w:spacing w:before="120" w:after="120" w:line="240"/>
        <w:ind w:left="0"/>
        <w:jc w:val="center"/>
      </w:pPr>
      <w:r>
        <w:rPr>
          <w:rFonts w:hint="default" w:ascii="Times New Roman" w:hAnsi="Times New Roman"/>
          <w:b/>
          <w:i w:val="false"/>
          <w:color w:val="000000"/>
          <w:sz w:val="24"/>
        </w:rPr>
        <w:t>Параграф 18. Электроустановки помещений для содержания животных</w:t>
      </w:r>
    </w:p>
    <w:bookmarkEnd w:id="984"/>
    <w:bookmarkStart w:name="637602440" w:id="9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261. Питание электроустановок животноводческих помещений выполняется от сети напряжением 380/220 В переменного тока с заземленной нейтралью.</w:t>
      </w:r>
    </w:p>
    <w:bookmarkEnd w:id="985"/>
    <w:bookmarkStart w:name="637602441" w:id="9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262. Для защиты людей и животных при косвенном прикосновении должно быть выполнено автоматическое отключение питания. В питающей сети должно быть выполнено разделение нулевого рабочего и нулевого защитного проводников. Разделение проводников выполняется на вводном щитке. При питании таких электроустановок от встроенных и пристроенных подстанций разделение проводников выполняется в нейтрали трансформатора, при этом нулевой рабочий проводник должен иметь изоляцию, равноценную изоляции фазных проводников на всем его протяжении.</w:t>
      </w:r>
    </w:p>
    <w:bookmarkEnd w:id="986"/>
    <w:bookmarkStart w:name="637602442" w:id="9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таблице 52 приложения к настоящим Правилам.</w:t>
      </w:r>
    </w:p>
    <w:bookmarkEnd w:id="987"/>
    <w:bookmarkStart w:name="637602443" w:id="9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указанное время отключения не может быть гарантировано, необходимо выполнить дополнительные защитные меры.</w:t>
      </w:r>
    </w:p>
    <w:bookmarkEnd w:id="988"/>
    <w:bookmarkStart w:name="637602444" w:id="9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263. Совмещенный нулевой проводник на вводе в помещение должен быть повторно заземлен. Значение сопротивления повторного заземления должно соответствовать пункту 199 настоящих Правил.</w:t>
      </w:r>
    </w:p>
    <w:bookmarkEnd w:id="989"/>
    <w:bookmarkStart w:name="637602445" w:id="9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264. В помещениях для содержания животных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w:t>
      </w:r>
    </w:p>
    <w:bookmarkEnd w:id="990"/>
    <w:bookmarkStart w:name="637602446" w:id="9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265.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bookmarkEnd w:id="991"/>
    <w:bookmarkStart w:name="637602447" w:id="9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266. Устройства выравнивания и уравнивания потенциалов должны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таблице 52 приложения к настоящим Правилам для электроустановок в помещениях с повышенной опасностью, особо опасных и в наружных установках – не более 12 В.</w:t>
      </w:r>
    </w:p>
    <w:bookmarkEnd w:id="992"/>
    <w:bookmarkStart w:name="637602448" w:id="9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267. Для всех групповых цепей, питающих штепсельные розетки, должна быть выполнена дополнительная защита от прямого прикосновения при помощи УЗО с номинальным отключающим дифференциальным током не более 30 мА.</w:t>
      </w:r>
    </w:p>
    <w:bookmarkEnd w:id="993"/>
    <w:bookmarkStart w:name="637602449" w:id="9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268.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устанавливаемого на вводном щитке.</w:t>
      </w:r>
    </w:p>
    <w:bookmarkEnd w:id="994"/>
    <w:bookmarkStart w:name="637602450" w:id="995"/>
    <w:p>
      <w:pPr>
        <w:spacing w:before="120" w:after="120" w:line="240"/>
        <w:ind w:left="0"/>
        <w:jc w:val="both"/>
      </w:pPr>
      <w:r>
        <w:rPr>
          <w:rFonts w:hint="default" w:ascii="Times New Roman" w:hAnsi="Times New Roman"/>
          <w:b/>
          <w:i w:val="false"/>
          <w:color w:val="000000"/>
          <w:sz w:val="24"/>
        </w:rPr>
        <w:t>8. Нормы приемосдаточных испытаний</w:t>
      </w:r>
    </w:p>
    <w:bookmarkEnd w:id="995"/>
    <w:bookmarkStart w:name="637602451" w:id="996"/>
    <w:p>
      <w:pPr>
        <w:spacing w:before="120" w:after="120" w:line="240"/>
        <w:ind w:left="0"/>
        <w:jc w:val="center"/>
      </w:pPr>
      <w:r>
        <w:rPr>
          <w:rFonts w:hint="default" w:ascii="Times New Roman" w:hAnsi="Times New Roman"/>
          <w:b/>
          <w:i w:val="false"/>
          <w:color w:val="000000"/>
          <w:sz w:val="24"/>
        </w:rPr>
        <w:t>Параграф 1. Общие положения</w:t>
      </w:r>
    </w:p>
    <w:bookmarkEnd w:id="996"/>
    <w:bookmarkStart w:name="637602452" w:id="9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269. Электрооборудование до 500 кВ, вновь вводимое в эксплуатацию в энергопроизводящих, энергоснабжающих, энергопередающих организациях и у потребителей, подвергается приемо-сдаточным испытаниям в соответствии с требованиями настоящей главы.</w:t>
      </w:r>
    </w:p>
    <w:bookmarkEnd w:id="997"/>
    <w:bookmarkStart w:name="637602453" w:id="9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проведении приемо-сдаточных испытаний электрооборудования, не охваченного настоящими нормами, необходимо руководствоваться инструкциями заводов-изготовителей и указаниями фирм-поставщиков.</w:t>
      </w:r>
    </w:p>
    <w:bookmarkEnd w:id="998"/>
    <w:bookmarkStart w:name="637602454" w:id="9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Измерения показателей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или энергопередающие организации перед вводом электроустановок потребителя в эксплуатацию до включения и после включения, а периодичность измерений показателей качества электрической энергии в процессе эксплуатации устанавливается в соответствии с требованиями ГОСТ-13109-97 «Нормы качества электрической энергии в системах электроснабжения общего назначения», и законодательства Республики Казахстан в области электроэнергетики.</w:t>
      </w:r>
    </w:p>
    <w:bookmarkEnd w:id="999"/>
    <w:bookmarkStart w:name="637602455" w:id="10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270.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bookmarkEnd w:id="1000"/>
    <w:bookmarkStart w:name="637602456" w:id="10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Готовность оборудования к эксплуатации определяется на основании рассмотрения результатов всех испытаний, относящихся к данной единице оборудования.</w:t>
      </w:r>
    </w:p>
    <w:bookmarkEnd w:id="1001"/>
    <w:bookmarkStart w:name="637602457" w:id="10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271. Все измерения, испытания и опробования,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протоколамив соответствии с действующими, инструкциями заводов-изготовителей и настоящими Правилами.</w:t>
      </w:r>
    </w:p>
    <w:bookmarkEnd w:id="1002"/>
    <w:bookmarkStart w:name="637602458" w:id="10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272. В энергопроизводящих, энергоснабжающих, энергопередающих организациях и у потребителей повышенным напряжением должно испытываться все элекрооборудование 35 кВ и ниже, а при наличии испытательных устройств – и электрооборудования напряжением выше 35 кВ, за исключением случаев, оговоренных в настоящей главе.</w:t>
      </w:r>
    </w:p>
    <w:bookmarkEnd w:id="1003"/>
    <w:bookmarkStart w:name="637602459" w:id="10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273. Изоляторы и электрооборудование с номинальным напряжением, превышающим номинальное напряжение установки, в которой они применены, могут испытываться повышенным напряжением по нормам для соответствующего класса изоляции электроустановки.</w:t>
      </w:r>
    </w:p>
    <w:bookmarkEnd w:id="1004"/>
    <w:bookmarkStart w:name="637602460" w:id="10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274.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фирм-поставщиков.</w:t>
      </w:r>
    </w:p>
    <w:bookmarkEnd w:id="1005"/>
    <w:bookmarkStart w:name="637602461" w:id="10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275. Испытание изоляции аппаратов повышенным напряжением промышленной частоты должно производиться,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bookmarkEnd w:id="1006"/>
    <w:bookmarkStart w:name="637602462" w:id="10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bookmarkEnd w:id="1007"/>
    <w:bookmarkStart w:name="637602463" w:id="10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276. Испытание изоляции напряжением промышленной частоты, равным 1 кВ, заменяется измерением одноминутного значения сопротивления изоляции мегаомметром на 2,5 кВ. Если при этом значение сопротивления меньше приведенного в нормах, испытание напряжением 1 кВ промышленной частоты является обязательным.</w:t>
      </w:r>
    </w:p>
    <w:bookmarkEnd w:id="1008"/>
    <w:bookmarkStart w:name="637602464" w:id="10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электроустановок напряжением промышленной частоты изоляции вторичных цепей с рабочим напряжением более 60 В обязательно для энергопроизводящих, энергоснабжающих, энергопередающих организаций и потребителей.</w:t>
      </w:r>
    </w:p>
    <w:bookmarkEnd w:id="1009"/>
    <w:bookmarkStart w:name="637602465" w:id="1010"/>
    <w:p>
      <w:pPr>
        <w:spacing w:before="120" w:after="120" w:line="240"/>
        <w:ind w:left="0"/>
        <w:jc w:val="center"/>
      </w:pPr>
      <w:r>
        <w:rPr>
          <w:rFonts w:hint="default" w:ascii="Times New Roman" w:hAnsi="Times New Roman"/>
          <w:b/>
          <w:i w:val="false"/>
          <w:color w:val="000000"/>
          <w:sz w:val="24"/>
        </w:rPr>
        <w:t>Параграф 2. Синхронные генераторы, компенсаторы и коллекторные возбудители</w:t>
      </w:r>
    </w:p>
    <w:bookmarkEnd w:id="1010"/>
    <w:bookmarkStart w:name="637602466" w:id="10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277. Синхронные генераторы мощностью более 1 МВт напряжением выше 1 кВ, а также синхронные компенсаторы и коллекторные возбудители должны испытываться в полном объеме настоящего параграфа.</w:t>
      </w:r>
    </w:p>
    <w:bookmarkEnd w:id="1011"/>
    <w:bookmarkStart w:name="637602467" w:id="10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Генераторы мощностью до 1 МВт напряжением выше 1 кВ должны испытываться по подпунктам 1)–5), 7)–15) настоящего пункта.</w:t>
      </w:r>
    </w:p>
    <w:bookmarkEnd w:id="1012"/>
    <w:bookmarkStart w:name="637602468" w:id="10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Генераторы напряжением до 1 кВ независимо от их мощности должны испытываться по подпунктам 2), 4), 5), 8), 10)–14) настоящего пункта:</w:t>
      </w:r>
    </w:p>
    <w:bookmarkEnd w:id="1013"/>
    <w:bookmarkStart w:name="637602469" w:id="10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генераторов с бумажно-масляной изоляцией необходимость сушки устанавливается в соответствии с инструкцией завода-изготовителя;</w:t>
      </w:r>
    </w:p>
    <w:bookmarkEnd w:id="1014"/>
    <w:bookmarkStart w:name="637602470" w:id="1015"/>
    <w:p>
      <w:pPr>
        <w:spacing w:before="120" w:after="120" w:line="240"/>
        <w:ind w:left="0"/>
        <w:jc w:val="both"/>
      </w:pPr>
      <w:r>
        <w:rPr>
          <w:rFonts w:hint="default" w:ascii="Times New Roman" w:hAnsi="Times New Roman"/>
          <w:b w:val="false"/>
          <w:i w:val="false"/>
          <w:color w:val="000000"/>
          <w:sz w:val="24"/>
        </w:rPr>
        <w:t>Для турбогенераторов типа ТГВ-300 допускается включение без сушки при коэффициенте нелинейности более 3, если остальные характеристики изоляции (R</w:t>
      </w:r>
      <w:r>
        <w:rPr>
          <w:rFonts w:hint="default" w:ascii="Times New Roman" w:hAnsi="Times New Roman"/>
          <w:b w:val="false"/>
          <w:i w:val="false"/>
          <w:color w:val="000000"/>
          <w:vertAlign w:val="subscript"/>
        </w:rPr>
        <w:t>60</w:t>
      </w:r>
      <w:r>
        <w:rPr>
          <w:rFonts w:hint="default" w:ascii="Times New Roman" w:hAnsi="Times New Roman"/>
          <w:b w:val="false"/>
          <w:i w:val="false"/>
          <w:color w:val="000000"/>
          <w:sz w:val="24"/>
        </w:rPr>
        <w:t xml:space="preserve"> /R</w:t>
      </w:r>
      <w:r>
        <w:rPr>
          <w:rFonts w:hint="default" w:ascii="Times New Roman" w:hAnsi="Times New Roman"/>
          <w:b w:val="false"/>
          <w:i w:val="false"/>
          <w:color w:val="000000"/>
          <w:vertAlign w:val="subscript"/>
        </w:rPr>
        <w:t>15</w:t>
      </w:r>
      <w:r>
        <w:rPr>
          <w:rFonts w:hint="default" w:ascii="Times New Roman" w:hAnsi="Times New Roman"/>
          <w:b w:val="false"/>
          <w:i w:val="false"/>
          <w:color w:val="000000"/>
          <w:sz w:val="24"/>
        </w:rPr>
        <w:t xml:space="preserve"> и R</w:t>
      </w:r>
      <w:r>
        <w:rPr>
          <w:rFonts w:hint="default" w:ascii="Times New Roman" w:hAnsi="Times New Roman"/>
          <w:b w:val="false"/>
          <w:i w:val="false"/>
          <w:color w:val="000000"/>
          <w:vertAlign w:val="subscript"/>
        </w:rPr>
        <w:t>60</w:t>
      </w:r>
      <w:r>
        <w:rPr>
          <w:rFonts w:hint="default" w:ascii="Times New Roman" w:hAnsi="Times New Roman"/>
          <w:b w:val="false"/>
          <w:i w:val="false"/>
          <w:color w:val="000000"/>
          <w:sz w:val="24"/>
        </w:rPr>
        <w:t xml:space="preserve"> ) удовлетворяют установленным нормам;</w:t>
      </w:r>
    </w:p>
    <w:bookmarkEnd w:id="1015"/>
    <w:bookmarkStart w:name="637602471" w:id="10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сопротивления изоляции. Сопротивление изоляции должно быть не менее значений, приведенных в таблице 53 приложения к настоящим Правилам;</w:t>
      </w:r>
    </w:p>
    <w:bookmarkEnd w:id="1016"/>
    <w:bookmarkStart w:name="637602472" w:id="10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изоляции обмоток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p>
    <w:bookmarkEnd w:id="1017"/>
    <w:bookmarkStart w:name="637602473" w:id="10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bookmarkEnd w:id="1018"/>
    <w:bookmarkStart w:name="637602474" w:id="10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испытательного напряжения приведены в таблице 54 приложения к настоящим Правилам.</w:t>
      </w:r>
    </w:p>
    <w:bookmarkEnd w:id="1019"/>
    <w:bookmarkStart w:name="637602475" w:id="10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турбогенераторов типа ТГВ-300 испытание производится по ветвям.</w:t>
      </w:r>
    </w:p>
    <w:bookmarkEnd w:id="1020"/>
    <w:bookmarkStart w:name="637602476" w:id="10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Испытательное выпрямленное напряжение для генераторов типов ТГВ-200 и ТГВ-300 принимается в соответствии с инструкцией по эксплуатации этих генераторов.</w:t>
      </w:r>
    </w:p>
    <w:bookmarkEnd w:id="1021"/>
    <w:bookmarkStart w:name="637602477" w:id="1022"/>
    <w:p>
      <w:pPr>
        <w:spacing w:before="120" w:after="120" w:line="240"/>
        <w:ind w:left="0"/>
        <w:jc w:val="both"/>
      </w:pPr>
      <w:r>
        <w:rPr>
          <w:rFonts w:hint="default" w:ascii="Times New Roman" w:hAnsi="Times New Roman"/>
          <w:b w:val="false"/>
          <w:i w:val="false"/>
          <w:color w:val="000000"/>
          <w:sz w:val="24"/>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 U</w:t>
      </w:r>
      <w:r>
        <w:rPr>
          <w:rFonts w:hint="default" w:ascii="Times New Roman" w:hAnsi="Times New Roman"/>
          <w:b w:val="false"/>
          <w:i w:val="false"/>
          <w:color w:val="000000"/>
          <w:vertAlign w:val="subscript"/>
        </w:rPr>
        <w:t>max</w:t>
      </w:r>
      <w:r>
        <w:rPr>
          <w:rFonts w:hint="default" w:ascii="Times New Roman" w:hAnsi="Times New Roman"/>
          <w:b w:val="false"/>
          <w:i w:val="false"/>
          <w:color w:val="000000"/>
          <w:sz w:val="24"/>
        </w:rPr>
        <w:t xml:space="preserve"> до U</w:t>
      </w:r>
      <w:r>
        <w:rPr>
          <w:rFonts w:hint="default" w:ascii="Times New Roman" w:hAnsi="Times New Roman"/>
          <w:b w:val="false"/>
          <w:i w:val="false"/>
          <w:color w:val="000000"/>
          <w:vertAlign w:val="subscript"/>
        </w:rPr>
        <w:t>max</w:t>
      </w:r>
      <w:r>
        <w:rPr>
          <w:rFonts w:hint="default" w:ascii="Times New Roman" w:hAnsi="Times New Roman"/>
          <w:b w:val="false"/>
          <w:i w:val="false"/>
          <w:color w:val="000000"/>
          <w:sz w:val="24"/>
        </w:rPr>
        <w:t xml:space="preserve"> равными ступенями. На каждой ступени напряжение выдерживается в течение 1 минуты. При этом, фиксируются токи утечки через 15 и 60 секунд;</w:t>
      </w:r>
    </w:p>
    <w:bookmarkEnd w:id="1022"/>
    <w:bookmarkStart w:name="637602478" w:id="10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изоляции повышенным напряжением промышленной частоты. Испытание проводится по нормам, приведенным в таблице 55 приложения к настоящим Правилам.</w:t>
      </w:r>
    </w:p>
    <w:bookmarkEnd w:id="1023"/>
    <w:bookmarkStart w:name="637602479" w:id="10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Испытанию подвергается каждая фаза или ветвь в отдельности при других фазах или ветвях, соединенных с корпусом.</w:t>
      </w:r>
    </w:p>
    <w:bookmarkEnd w:id="1024"/>
    <w:bookmarkStart w:name="637602480" w:id="10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1 минута.</w:t>
      </w:r>
    </w:p>
    <w:bookmarkEnd w:id="1025"/>
    <w:bookmarkStart w:name="637602481" w:id="10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проведении испытаний изоляции повышенным напряжением промышленной частоты руководствоваться следующим:</w:t>
      </w:r>
    </w:p>
    <w:bookmarkEnd w:id="1026"/>
    <w:bookmarkStart w:name="637602482" w:id="10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изоляции обмоток статора генератора производится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bookmarkEnd w:id="1027"/>
    <w:bookmarkStart w:name="637602483" w:id="10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процессе испытания осуществляется наблюдение за состоянием лобовых частей машины:</w:t>
      </w:r>
    </w:p>
    <w:bookmarkEnd w:id="1028"/>
    <w:bookmarkStart w:name="637602484" w:id="10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турбогенераторов – при снятых торцовых щитах, у гидрогенераторов – при открытых вентиляционных люках;</w:t>
      </w:r>
    </w:p>
    <w:bookmarkEnd w:id="1029"/>
    <w:bookmarkStart w:name="637602485" w:id="10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изоляции обмотки статора для машин с водяным охлаждением производится при циркуляции дистиллированной воды в системе охлаждения с удельным сопротивлением не менее 75 кОм/см и номинальном расходе;</w:t>
      </w:r>
    </w:p>
    <w:bookmarkEnd w:id="1030"/>
    <w:bookmarkStart w:name="637602486" w:id="10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после испытания обмотки статора повышенным напряжением в течение 1 минута у генераторов 10 кВ и выше испытательное напряжение снизить до номинального напряжения генератора и выдержать в течение 5 минут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bookmarkEnd w:id="1031"/>
    <w:bookmarkStart w:name="637602487" w:id="10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изоляции обмотки ротора турбогенераторов производится при номинальной частоте вращения ротора;</w:t>
      </w:r>
    </w:p>
    <w:bookmarkEnd w:id="1032"/>
    <w:bookmarkStart w:name="637602488" w:id="10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измерение сопротивления постоянному току. Нормы допустимых отклонений сопротивления постоянному току приведены в таблице 56 приложения к настоящим Правилам;</w:t>
      </w:r>
    </w:p>
    <w:bookmarkEnd w:id="1033"/>
    <w:bookmarkStart w:name="637602489" w:id="10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измерение сопротивления обмотки ротора переменному току промышленной частоты. Производится для генераторов мощностью более 1 МВт. Измерение производится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p>
    <w:bookmarkEnd w:id="1034"/>
    <w:bookmarkStart w:name="637602490" w:id="10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p>
    <w:bookmarkEnd w:id="1035"/>
    <w:bookmarkStart w:name="637602491" w:id="10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5 % среднего значения (равного их полусумме) – для турбогенераторов 150 МВт и выше с непосредственным охлаждением проводников;</w:t>
      </w:r>
    </w:p>
    <w:bookmarkEnd w:id="1036"/>
    <w:bookmarkStart w:name="637602492" w:id="10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10 % – для остальных турбогенераторов;</w:t>
      </w:r>
    </w:p>
    <w:bookmarkEnd w:id="1037"/>
    <w:bookmarkStart w:name="637602493" w:id="10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20 % – для гидрогенераторов.</w:t>
      </w:r>
    </w:p>
    <w:bookmarkEnd w:id="1038"/>
    <w:bookmarkStart w:name="637602494" w:id="10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зазора у явнополюсных машин производится под всеми полюсами;</w:t>
      </w:r>
    </w:p>
    <w:bookmarkEnd w:id="1039"/>
    <w:bookmarkStart w:name="637602495" w:id="10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и испытание системы возбуждения. Проверка и испытание электромашинных возбудителей производится в соответствии с таблицей 56 приложения к настоящим Правилам. Проверка и испытание полупроводниковых высокочастотных возбудителей производятся в соответствии с инструкцией завода-изготовителя;</w:t>
      </w:r>
    </w:p>
    <w:bookmarkEnd w:id="1040"/>
    <w:bookmarkStart w:name="637602496" w:id="10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определение характеристик генератора:</w:t>
      </w:r>
    </w:p>
    <w:bookmarkEnd w:id="1041"/>
    <w:bookmarkStart w:name="637602497" w:id="10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p>
    <w:bookmarkEnd w:id="1042"/>
    <w:bookmarkStart w:name="637602498" w:id="10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Снижение измеренной характеристики, которое превышает точность измерения, свидетельствует о наличии витковых замыканий в обмотке ротора.</w:t>
      </w:r>
    </w:p>
    <w:bookmarkEnd w:id="1043"/>
    <w:bookmarkStart w:name="637602499" w:id="10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bookmarkEnd w:id="1044"/>
    <w:bookmarkStart w:name="637602500" w:id="10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p>
    <w:bookmarkEnd w:id="1045"/>
    <w:bookmarkStart w:name="637602501" w:id="10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испытание междувитковой изоляции. Испытание производится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в соответствии с подпунктом 9) настоящего пункта провериется симметрия напряжений по фазам. Продолжительность испытания при наибольшем напряжении – 5 минут. Испытание междувитковой изоляции производится одновременно со снятием характеристики холостого хода;</w:t>
      </w:r>
    </w:p>
    <w:bookmarkEnd w:id="1046"/>
    <w:bookmarkStart w:name="637602502" w:id="10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таблице 57 приложения к настоящим Правилам;</w:t>
      </w:r>
    </w:p>
    <w:bookmarkEnd w:id="1047"/>
    <w:bookmarkStart w:name="637602503" w:id="10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проверка и испытание системы охлаждения. Производятся в соответствии с инструкцией завода-изготовителя;</w:t>
      </w:r>
    </w:p>
    <w:bookmarkEnd w:id="1048"/>
    <w:bookmarkStart w:name="637602504" w:id="10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проверка и испытание системы маслоснабжения. Производятся в соответствии с инструкцией завода-изготовителя;</w:t>
      </w:r>
    </w:p>
    <w:bookmarkEnd w:id="1049"/>
    <w:bookmarkStart w:name="637602505" w:id="10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bookmarkEnd w:id="1050"/>
    <w:bookmarkStart w:name="637602506" w:id="10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p>
    <w:bookmarkEnd w:id="1051"/>
    <w:bookmarkStart w:name="637602507" w:id="10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 измерение остаточного напряжения генератора при отключении АГП в цепи ротора. Значение остаточного напряжения не нормируется;</w:t>
      </w:r>
    </w:p>
    <w:bookmarkEnd w:id="1052"/>
    <w:bookmarkStart w:name="637602508" w:id="10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 определение индуктивных сопротивлений и постоянных времени генератора. Значения индуктивных сопротивлений и постоянных времени не нормируются.</w:t>
      </w:r>
    </w:p>
    <w:bookmarkEnd w:id="1053"/>
    <w:bookmarkStart w:name="637602509" w:id="1054"/>
    <w:p>
      <w:pPr>
        <w:spacing w:before="120" w:after="120" w:line="240"/>
        <w:ind w:left="0"/>
        <w:jc w:val="center"/>
      </w:pPr>
      <w:r>
        <w:rPr>
          <w:rFonts w:hint="default" w:ascii="Times New Roman" w:hAnsi="Times New Roman"/>
          <w:b/>
          <w:i w:val="false"/>
          <w:color w:val="000000"/>
          <w:sz w:val="24"/>
        </w:rPr>
        <w:t>Параграф 3. Машины постоянного тока</w:t>
      </w:r>
    </w:p>
    <w:bookmarkEnd w:id="1054"/>
    <w:bookmarkStart w:name="637602510" w:id="10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278. Машины постоянного тока мощностью до 200 кВт, напряжением до 440 В испытываются по подпунктам 1), 2), 4), 8), все остальные – дополнительно по подпунктам 3), 4), 5) настоящего пункта.</w:t>
      </w:r>
    </w:p>
    <w:bookmarkEnd w:id="1055"/>
    <w:bookmarkStart w:name="637602511" w:id="10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Возбудители синхронных генераторов и компенсаторов испытываются по подпунктам 1)-6), 8) настоящего пункта.</w:t>
      </w:r>
    </w:p>
    <w:bookmarkEnd w:id="1056"/>
    <w:bookmarkStart w:name="637602512" w:id="10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по подпункту 7) настоящим пунктам производится для машин, поступивших на место монтажа в разобранном виде.</w:t>
      </w:r>
    </w:p>
    <w:bookmarkEnd w:id="1057"/>
    <w:bookmarkStart w:name="637602513" w:id="10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Определение возможности включения без сушки машин постоянного тока.</w:t>
      </w:r>
    </w:p>
    <w:bookmarkEnd w:id="1058"/>
    <w:bookmarkStart w:name="637602514" w:id="10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мегаомметром на напряжение 1 кВ.</w:t>
      </w:r>
    </w:p>
    <w:bookmarkEnd w:id="1059"/>
    <w:bookmarkStart w:name="637602515" w:id="10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должно быть не ниже:</w:t>
      </w:r>
    </w:p>
    <w:bookmarkEnd w:id="1060"/>
    <w:bookmarkStart w:name="637602516" w:id="1061"/>
    <w:p>
      <w:pPr>
        <w:spacing w:before="120" w:after="120" w:line="240"/>
        <w:ind w:left="0"/>
        <w:jc w:val="both"/>
      </w:pPr>
      <w:r>
        <w:rPr>
          <w:rFonts w:hint="default" w:ascii="Times New Roman" w:hAnsi="Times New Roman"/>
          <w:b w:val="false"/>
          <w:i w:val="false"/>
          <w:color w:val="000000"/>
          <w:sz w:val="24"/>
        </w:rPr>
        <w:t>между обмотками и каждой обмотки относительно корпуса при температуре 10–30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 0,5 МОм;</w:t>
      </w:r>
    </w:p>
    <w:bookmarkEnd w:id="1061"/>
    <w:bookmarkStart w:name="637602517" w:id="10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бандажей якоря (кроме возбудителей) не нормируется;</w:t>
      </w:r>
    </w:p>
    <w:bookmarkEnd w:id="1062"/>
    <w:bookmarkStart w:name="637602518" w:id="10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бандажей якоря возбудителя – 1 МОм.</w:t>
      </w:r>
    </w:p>
    <w:bookmarkEnd w:id="1063"/>
    <w:bookmarkStart w:name="637602519" w:id="10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изоляции повышенным напряжением промышленной частоты. Испытание производится по нормам, приведенным в таблице 58 приложения к настоящим Правилам. Продолжительность приложения нормированного испытательного напряжения 1 минута.</w:t>
      </w:r>
    </w:p>
    <w:bookmarkEnd w:id="1064"/>
    <w:bookmarkStart w:name="637602520" w:id="10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сопротивления постоянному току:</w:t>
      </w:r>
    </w:p>
    <w:bookmarkEnd w:id="1065"/>
    <w:bookmarkStart w:name="637602521" w:id="10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возбуждения. Значение сопротивления должно отличаться от данных завода-изготовителя не более чем на 2 %;</w:t>
      </w:r>
    </w:p>
    <w:bookmarkEnd w:id="1066"/>
    <w:bookmarkStart w:name="637602522" w:id="10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обмотки якоря (между коллекторными пластинами). Значения сопротивлений должны отличаться одно от другого не более чем на 10 % за исключением случаев, когда закономерные колебания этих величин обусловлены схемой соединения обмоток;</w:t>
      </w:r>
    </w:p>
    <w:bookmarkEnd w:id="1067"/>
    <w:bookmarkStart w:name="637602523" w:id="10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10 %.</w:t>
      </w:r>
    </w:p>
    <w:bookmarkEnd w:id="1068"/>
    <w:bookmarkStart w:name="637602524" w:id="10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Снятие характеристики холостого хода и испытание витковой изоляции. Подъем напряжения производится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5 минут;</w:t>
      </w:r>
    </w:p>
    <w:bookmarkEnd w:id="1069"/>
    <w:bookmarkStart w:name="637602525" w:id="10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Отклонение полученных значений характеристики от значений заводской характеристики должно находиться в пределах точности измерения;</w:t>
      </w:r>
    </w:p>
    <w:bookmarkEnd w:id="1070"/>
    <w:bookmarkStart w:name="637602526" w:id="10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снятие нагрузочной характеристики. Производится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bookmarkEnd w:id="1071"/>
    <w:bookmarkStart w:name="637602527" w:id="10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воздушных зазоров между полюсами.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bookmarkEnd w:id="1072"/>
    <w:bookmarkStart w:name="637602528" w:id="10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p>
    <w:bookmarkEnd w:id="1073"/>
    <w:bookmarkStart w:name="637602529" w:id="10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работе под нагрузкой проверяется степень искрения, которая оценивается по шкале, приведенной в таблице 59 приложения к настоящим Правилам.</w:t>
      </w:r>
    </w:p>
    <w:bookmarkEnd w:id="1074"/>
    <w:bookmarkStart w:name="637602530" w:id="10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степень искрения специально не оговорена заводом-изготовителем, то при номинальном режиме она должна быть не выше 1,5.</w:t>
      </w:r>
    </w:p>
    <w:bookmarkEnd w:id="1075"/>
    <w:bookmarkStart w:name="637602531" w:id="1076"/>
    <w:p>
      <w:pPr>
        <w:spacing w:before="120" w:after="120" w:line="240"/>
        <w:ind w:left="0"/>
        <w:jc w:val="center"/>
      </w:pPr>
      <w:r>
        <w:rPr>
          <w:rFonts w:hint="default" w:ascii="Times New Roman" w:hAnsi="Times New Roman"/>
          <w:b/>
          <w:i w:val="false"/>
          <w:color w:val="000000"/>
          <w:sz w:val="24"/>
        </w:rPr>
        <w:t>Параграф 4. Электродвигатели переменного тока</w:t>
      </w:r>
    </w:p>
    <w:bookmarkEnd w:id="1076"/>
    <w:bookmarkStart w:name="637602532" w:id="10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279. Электродвигатели переменного тока до 1 кВ испытываются в соответствии подпунктами 2), 4), 10), 11) настоящего пункта.</w:t>
      </w:r>
    </w:p>
    <w:bookmarkEnd w:id="1077"/>
    <w:bookmarkStart w:name="637602533" w:id="10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Электродвигатели переменного тока выше 1 кВ испытываются в соответствии подпунктами 1)–4), 7), 9)–11) настоящего пункта.</w:t>
      </w:r>
    </w:p>
    <w:bookmarkEnd w:id="1078"/>
    <w:bookmarkStart w:name="637602534" w:id="10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подпунктам 5), 6), 8) настоящего пункта испытываются электродвигатели, поступающие на монтаж в разобранном виде;</w:t>
      </w:r>
    </w:p>
    <w:bookmarkEnd w:id="1079"/>
    <w:bookmarkStart w:name="637602535" w:id="10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определение возможности включения без сушки электродвигателей напряжением выше 1 кВ;</w:t>
      </w:r>
    </w:p>
    <w:bookmarkEnd w:id="1080"/>
    <w:bookmarkStart w:name="637602536" w:id="10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указанной в настоящим пунктам. В остальных случаях сопротивление изоляции должно соответствовать нормам, приведенным в таблице 60 приложения к настоящим Правилам;</w:t>
      </w:r>
    </w:p>
    <w:bookmarkEnd w:id="1081"/>
    <w:bookmarkStart w:name="637602537" w:id="10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повышенным напряжением промышленной частоты. Производится на полностью собранном электродвигателе.</w:t>
      </w:r>
    </w:p>
    <w:bookmarkEnd w:id="1082"/>
    <w:bookmarkStart w:name="637602538" w:id="10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bookmarkEnd w:id="1083"/>
    <w:bookmarkStart w:name="637602539" w:id="10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испытательных напряжений приведены в таблице 60 приложения к настоящим Правилам. Продолжительность приложения нормированного испытательного напряжения 1 минута;</w:t>
      </w:r>
    </w:p>
    <w:bookmarkEnd w:id="1084"/>
    <w:bookmarkStart w:name="637602540" w:id="10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сопротивления постоянному току:</w:t>
      </w:r>
    </w:p>
    <w:bookmarkEnd w:id="1085"/>
    <w:bookmarkStart w:name="637602541" w:id="10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статора и ротора. Производится при мощности электродвигателей 300 кВт и более.</w:t>
      </w:r>
    </w:p>
    <w:bookmarkEnd w:id="1086"/>
    <w:bookmarkStart w:name="637602542" w:id="10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Измеренные сопротивления обмоток различных фаз должны отличаться друг от друга или от заводских данных не более чем на 2 %;</w:t>
      </w:r>
    </w:p>
    <w:bookmarkEnd w:id="1087"/>
    <w:bookmarkStart w:name="637602543" w:id="10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10 %;</w:t>
      </w:r>
    </w:p>
    <w:bookmarkEnd w:id="1088"/>
    <w:bookmarkStart w:name="637602544" w:id="1089"/>
    <w:p>
      <w:pPr>
        <w:spacing w:before="120" w:after="120" w:line="240"/>
        <w:ind w:left="0"/>
        <w:jc w:val="both"/>
      </w:pPr>
      <w:r>
        <w:rPr>
          <w:rFonts w:hint="default" w:ascii="Times New Roman" w:hAnsi="Times New Roman"/>
          <w:b w:val="false"/>
          <w:i w:val="false"/>
          <w:color w:val="000000"/>
          <w:sz w:val="24"/>
        </w:rPr>
        <w:t>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должны отличаться не более чем на 10 % среднего размера;</w:t>
      </w:r>
    </w:p>
    <w:bookmarkEnd w:id="1089"/>
    <w:bookmarkStart w:name="637602545" w:id="10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измерение зазоров в подшипниках скольжения. Размеры зазоров приведены в таблице 62 приложения к настоящим Правилам;</w:t>
      </w:r>
    </w:p>
    <w:bookmarkEnd w:id="1090"/>
    <w:bookmarkStart w:name="637602546" w:id="10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вибрации подшипников электродвигателя. Значения вибрации, измеренные на каждом подшипнике, должны быть не более значений, приведенных ниже:</w:t>
      </w:r>
    </w:p>
    <w:bookmarkEnd w:id="1091"/>
    <w:bookmarkStart w:name="637602547" w:id="1092"/>
    <w:tbl>
      <w:tblPr>
        <w:tblW w:w="18660" w:type="auto"/>
        <w:tblCellSpacing w:w="0" w:type="auto"/>
        <w:tblBorders>
          <w:top w:val="none"/>
          <w:left w:val="none"/>
          <w:bottom w:val="none"/>
          <w:right w:val="none"/>
          <w:insideH w:val="none"/>
          <w:insideV w:val="none"/>
        </w:tblBorders>
        <w:tblLayout/>
      </w:tblPr>
      <w:tblGrid>
        <w:gridCol w:w="8230"/>
        <w:gridCol w:w="1115"/>
        <w:gridCol w:w="1142"/>
        <w:gridCol w:w="1389"/>
        <w:gridCol w:w="4124"/>
      </w:tblGrid>
      <w:tr>
        <w:trPr>
          <w:trHeight w:val="30" w:hRule="atLeast"/>
        </w:trPr>
        <w:tc>
          <w:tcPr>
            <w:tcW w:w="82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Синхронная частота вращения электродвигателя, Гц</w:t>
            </w:r>
          </w:p>
        </w:tc>
        <w:tc>
          <w:tcPr>
            <w:tcW w:w="11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11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13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16,7</w:t>
            </w:r>
          </w:p>
        </w:tc>
        <w:tc>
          <w:tcPr>
            <w:tcW w:w="41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 и ниже</w:t>
            </w:r>
          </w:p>
        </w:tc>
      </w:tr>
      <w:tr>
        <w:trPr>
          <w:trHeight w:val="30" w:hRule="atLeast"/>
        </w:trPr>
        <w:tc>
          <w:tcPr>
            <w:tcW w:w="82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Допустимая вибрация, мкм</w:t>
            </w:r>
          </w:p>
        </w:tc>
        <w:tc>
          <w:tcPr>
            <w:tcW w:w="11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11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13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41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r>
    </w:tbl>
    <w:bookmarkEnd w:id="1092"/>
    <w:bookmarkStart w:name="637602548" w:id="10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измерение разбега ротора в осевом направлении. Производится для электродвигателей, имеющих подшипники скольжения. Осевой разбег не должен превышать 2–4 мм;</w:t>
      </w:r>
    </w:p>
    <w:bookmarkEnd w:id="1093"/>
    <w:bookmarkStart w:name="637602549" w:id="10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испытание воздухоохладителя гидравлическим давлением:</w:t>
      </w:r>
    </w:p>
    <w:bookmarkEnd w:id="1094"/>
    <w:bookmarkStart w:name="637602550" w:id="1095"/>
    <w:p>
      <w:pPr>
        <w:spacing w:before="120" w:after="120" w:line="240"/>
        <w:ind w:left="0"/>
        <w:jc w:val="both"/>
      </w:pPr>
      <w:r>
        <w:rPr>
          <w:rFonts w:hint="default" w:ascii="Times New Roman" w:hAnsi="Times New Roman"/>
          <w:b w:val="false"/>
          <w:i w:val="false"/>
          <w:color w:val="000000"/>
          <w:sz w:val="24"/>
        </w:rPr>
        <w:t>Производится избыточным гидравлическим давлением 0,2–0,25 МПа (2–2,5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Продолжительность испытания 10 минут. При этом, не должно наблюдаться снижение давления или утечки жидкости, применяемой при испытании;</w:t>
      </w:r>
    </w:p>
    <w:bookmarkEnd w:id="1095"/>
    <w:bookmarkStart w:name="637602551" w:id="10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проверка работы электродвигателя на холостом ходу или с ненагруженным механизмом. Продолжительность проверки не менее 1 часа;</w:t>
      </w:r>
    </w:p>
    <w:bookmarkEnd w:id="1096"/>
    <w:bookmarkStart w:name="637602552" w:id="10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p>
    <w:bookmarkEnd w:id="1097"/>
    <w:bookmarkStart w:name="637602553" w:id="1098"/>
    <w:p>
      <w:pPr>
        <w:spacing w:before="120" w:after="120" w:line="240"/>
        <w:ind w:left="0"/>
        <w:jc w:val="center"/>
      </w:pPr>
      <w:r>
        <w:rPr>
          <w:rFonts w:hint="default" w:ascii="Times New Roman" w:hAnsi="Times New Roman"/>
          <w:b/>
          <w:i w:val="false"/>
          <w:color w:val="000000"/>
          <w:sz w:val="24"/>
        </w:rPr>
        <w:t>Параграф 5. Силовые трансформаторы, автотрансформаторы,масляные реакторы и заземляющие дугогасящие реакторы (дугогасящие катушки)</w:t>
      </w:r>
    </w:p>
    <w:bookmarkEnd w:id="1098"/>
    <w:bookmarkStart w:name="637602554" w:id="10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280. Маслонаполненные трансформаторы мощностью до 1,6 МВ*А испытываются по подпунктам 1), 2), 4), 8), 9), 11)–14) настоящего пункта.</w:t>
      </w:r>
    </w:p>
    <w:bookmarkEnd w:id="1099"/>
    <w:bookmarkStart w:name="637602555" w:id="1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Маслонаполненные трансформаторы мощностью более 1,6 МВ*А, а также ответственные трансформаторы собственных нужд электростанции независимо от мощности испытываются в полном объеме, предусмотренном настоящим параграфом.</w:t>
      </w:r>
    </w:p>
    <w:bookmarkEnd w:id="1100"/>
    <w:bookmarkStart w:name="637602556" w:id="1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Сухие и заполненные совтолом трансформаторы всех мощностей испытываются по подпунктам 1)– 8), 12), 14) настоящего пункта:</w:t>
      </w:r>
    </w:p>
    <w:bookmarkEnd w:id="1101"/>
    <w:bookmarkStart w:name="637602557" w:id="1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определение условий включения трансформаторов. Производится в соответствии с инструкцией «Трансформаторы силовые. Транспортирование, разгрузка, хранение, монтаж и ввод в эксплуатацию»;</w:t>
      </w:r>
    </w:p>
    <w:bookmarkEnd w:id="1102"/>
    <w:bookmarkStart w:name="637602558" w:id="1103"/>
    <w:p>
      <w:pPr>
        <w:spacing w:before="120" w:after="120" w:line="240"/>
        <w:ind w:left="0"/>
        <w:jc w:val="both"/>
      </w:pPr>
      <w:r>
        <w:rPr>
          <w:rFonts w:hint="default" w:ascii="Times New Roman" w:hAnsi="Times New Roman"/>
          <w:b w:val="false"/>
          <w:i w:val="false"/>
          <w:color w:val="000000"/>
          <w:sz w:val="24"/>
        </w:rPr>
        <w:t>2) измерение характеристик изоляции. Допустимые значения сопротивления изоляции R</w:t>
      </w:r>
      <w:r>
        <w:rPr>
          <w:rFonts w:hint="default" w:ascii="Times New Roman" w:hAnsi="Times New Roman"/>
          <w:b w:val="false"/>
          <w:i w:val="false"/>
          <w:color w:val="000000"/>
          <w:vertAlign w:val="subscript"/>
        </w:rPr>
        <w:t>60</w:t>
      </w:r>
      <w:r>
        <w:rPr>
          <w:rFonts w:hint="default" w:ascii="Times New Roman" w:hAnsi="Times New Roman"/>
          <w:b w:val="false"/>
          <w:i w:val="false"/>
          <w:color w:val="000000"/>
          <w:sz w:val="24"/>
        </w:rPr>
        <w:t xml:space="preserve"> , коэффициент абсорбции R</w:t>
      </w:r>
      <w:r>
        <w:rPr>
          <w:rFonts w:hint="default" w:ascii="Times New Roman" w:hAnsi="Times New Roman"/>
          <w:b w:val="false"/>
          <w:i w:val="false"/>
          <w:color w:val="000000"/>
          <w:vertAlign w:val="subscript"/>
        </w:rPr>
        <w:t>60</w:t>
      </w:r>
      <w:r>
        <w:rPr>
          <w:rFonts w:hint="default" w:ascii="Times New Roman" w:hAnsi="Times New Roman"/>
          <w:b w:val="false"/>
          <w:i w:val="false"/>
          <w:color w:val="000000"/>
          <w:sz w:val="24"/>
        </w:rPr>
        <w:t xml:space="preserve"> /R</w:t>
      </w:r>
      <w:r>
        <w:rPr>
          <w:rFonts w:hint="default" w:ascii="Times New Roman" w:hAnsi="Times New Roman"/>
          <w:b w:val="false"/>
          <w:i w:val="false"/>
          <w:color w:val="000000"/>
          <w:vertAlign w:val="subscript"/>
        </w:rPr>
        <w:t>15</w:t>
      </w:r>
      <w:r>
        <w:rPr>
          <w:rFonts w:hint="default" w:ascii="Times New Roman" w:hAnsi="Times New Roman"/>
          <w:b w:val="false"/>
          <w:i w:val="false"/>
          <w:color w:val="000000"/>
          <w:sz w:val="24"/>
        </w:rPr>
        <w:t xml:space="preserve"> , тангенс угла диэлектрических потерь и отношения С</w:t>
      </w:r>
      <w:r>
        <w:rPr>
          <w:rFonts w:hint="default" w:ascii="Times New Roman" w:hAnsi="Times New Roman"/>
          <w:b w:val="false"/>
          <w:i w:val="false"/>
          <w:color w:val="000000"/>
          <w:vertAlign w:val="subscript"/>
        </w:rPr>
        <w:t>2</w:t>
      </w:r>
      <w:r>
        <w:rPr>
          <w:rFonts w:hint="default" w:ascii="Times New Roman" w:hAnsi="Times New Roman"/>
          <w:b w:val="false"/>
          <w:i w:val="false"/>
          <w:color w:val="000000"/>
          <w:sz w:val="24"/>
        </w:rPr>
        <w:t xml:space="preserve"> /С</w:t>
      </w:r>
      <w:r>
        <w:rPr>
          <w:rFonts w:hint="default" w:ascii="Times New Roman" w:hAnsi="Times New Roman"/>
          <w:b w:val="false"/>
          <w:i w:val="false"/>
          <w:color w:val="000000"/>
          <w:vertAlign w:val="subscript"/>
        </w:rPr>
        <w:t>50</w:t>
      </w:r>
      <w:r>
        <w:rPr>
          <w:rFonts w:hint="default" w:ascii="Times New Roman" w:hAnsi="Times New Roman"/>
          <w:b w:val="false"/>
          <w:i w:val="false"/>
          <w:color w:val="000000"/>
          <w:sz w:val="24"/>
        </w:rPr>
        <w:t xml:space="preserve"> и </w:t>
      </w: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42900" cy="393700"/>
                    </a:xfrm>
                    <a:prstGeom prst="rect">
                      <a:avLst/>
                    </a:prstGeom>
                  </pic:spPr>
                </pic:pic>
              </a:graphicData>
            </a:graphic>
          </wp:inline>
        </w:drawing>
      </w:r>
      <w:r>
        <w:rPr>
          <w:rFonts w:hint="default" w:ascii="Times New Roman" w:hAnsi="Times New Roman"/>
          <w:b w:val="false"/>
          <w:i w:val="false"/>
          <w:color w:val="000000"/>
          <w:sz w:val="24"/>
        </w:rPr>
        <w:t xml:space="preserve"> С/С регламентируются в соответствует с пунктом 279 настоящих Правил;</w:t>
      </w:r>
    </w:p>
    <w:bookmarkEnd w:id="1103"/>
    <w:bookmarkStart w:name="637602559" w:id="1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повышенным напряжением промышленной частоты:</w:t>
      </w:r>
    </w:p>
    <w:bookmarkEnd w:id="1104"/>
    <w:bookmarkStart w:name="637602560" w:id="1105"/>
    <w:p>
      <w:pPr>
        <w:spacing w:before="120" w:after="120" w:line="240"/>
        <w:ind w:left="0"/>
        <w:jc w:val="both"/>
      </w:pPr>
      <w:r>
        <w:rPr>
          <w:rFonts w:hint="default" w:ascii="Times New Roman" w:hAnsi="Times New Roman"/>
          <w:b w:val="false"/>
          <w:i w:val="false"/>
          <w:color w:val="000000"/>
          <w:sz w:val="24"/>
        </w:rPr>
        <w:t>изоляции обмоток вместе с вводами. Испытательные напряжения приведены в таблице 63 приложения к настоящим Правилам. Продолжительность приложения нормированного</w:t>
      </w:r>
      <w:r>
        <w:drawing>
          <wp:inline distT="0" distB="0" distL="0" distR="0">
            <wp:extent cx="34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42900" cy="393700"/>
                    </a:xfrm>
                    <a:prstGeom prst="rect">
                      <a:avLst/>
                    </a:prstGeom>
                  </pic:spPr>
                </pic:pic>
              </a:graphicData>
            </a:graphic>
          </wp:inline>
        </w:drawing>
      </w:r>
      <w:r>
        <w:rPr>
          <w:rFonts w:hint="default" w:ascii="Times New Roman" w:hAnsi="Times New Roman"/>
          <w:b w:val="false"/>
          <w:i w:val="false"/>
          <w:color w:val="000000"/>
          <w:sz w:val="24"/>
        </w:rPr>
        <w:t xml:space="preserve"> испытательного напряжения 1 минута.</w:t>
      </w:r>
    </w:p>
    <w:bookmarkEnd w:id="1105"/>
    <w:bookmarkStart w:name="637602561" w:id="1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повышенным напряжением промышленной частоты изоляции обмоток маслонаполненных трансформаторов при вводе в эксплуатацию не обязательно.</w:t>
      </w:r>
    </w:p>
    <w:bookmarkEnd w:id="1106"/>
    <w:bookmarkStart w:name="637602562" w:id="1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повышенным напряжением промышленной частоты изоляции обмоток сухих трансформаторов обязательно и производится по нормам таблицы 63 приложения к настоящим Правилам для аппаратов с облегченной изоляцией.</w:t>
      </w:r>
    </w:p>
    <w:bookmarkEnd w:id="1107"/>
    <w:bookmarkStart w:name="637602563" w:id="1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Импортные трансформаторы разрешается испытывать напряжениями, указанными в таблице 63 приложения к настоящим Правилам, лишь в тех случаях, если они не превышают напряжения, которым данный трансформатор был испытан на заводе.</w:t>
      </w:r>
    </w:p>
    <w:bookmarkEnd w:id="1108"/>
    <w:bookmarkStart w:name="637602564" w:id="11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Испытательное напряжение заземляющих реакторов на напряжение до 35 кВ аналогично приведенным для трансформаторов соответствующего класса.</w:t>
      </w:r>
    </w:p>
    <w:bookmarkEnd w:id="1109"/>
    <w:bookmarkStart w:name="637602565" w:id="1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p>
    <w:bookmarkEnd w:id="1110"/>
    <w:bookmarkStart w:name="637602566" w:id="1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доступных стяжных шпилек, прессующих колец и ярмовых балок. Испытание производится в случае осмотра активной части. Испытательное напряжение 1–2 кВ. Продолжительность приложения нормированного испытательного напряжения 1 минута;</w:t>
      </w:r>
    </w:p>
    <w:bookmarkEnd w:id="1111"/>
    <w:bookmarkStart w:name="637602567" w:id="11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bookmarkEnd w:id="1112"/>
    <w:bookmarkStart w:name="637602568" w:id="1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коэффициента трансформации. 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bookmarkEnd w:id="1113"/>
    <w:bookmarkStart w:name="637602569" w:id="1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bookmarkEnd w:id="1114"/>
    <w:bookmarkStart w:name="637602570" w:id="1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тока и потерь холостого хода. Производится одно из измерений, указанных ниже:</w:t>
      </w:r>
    </w:p>
    <w:bookmarkEnd w:id="1115"/>
    <w:bookmarkStart w:name="637602571" w:id="1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номинальном напряжении. Измеряется ток холостого хода. Значение тока не нормируется;</w:t>
      </w:r>
    </w:p>
    <w:bookmarkEnd w:id="1116"/>
    <w:bookmarkStart w:name="637602572" w:id="1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малом напряжении. Измерение производится с приведением потерь к номинальному напряжению или без приведения (метод сравнения);</w:t>
      </w:r>
    </w:p>
    <w:bookmarkEnd w:id="1117"/>
    <w:bookmarkStart w:name="637602573" w:id="1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работы переключающего устройства и снятие круговой диаграммы. Снятие круговой диаграммы производится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производится согласно заводским инструкциям;</w:t>
      </w:r>
    </w:p>
    <w:bookmarkEnd w:id="1118"/>
    <w:bookmarkStart w:name="637602574" w:id="1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испытание бака с радиаторами гидравлическим давлением. Подвергаются все трансформаторы, кроме герметизированных и не имеющих расширителя.</w:t>
      </w:r>
    </w:p>
    <w:bookmarkEnd w:id="1119"/>
    <w:bookmarkStart w:name="637602575" w:id="1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производится:</w:t>
      </w:r>
    </w:p>
    <w:bookmarkEnd w:id="1120"/>
    <w:bookmarkStart w:name="637602576" w:id="1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bookmarkEnd w:id="1121"/>
    <w:bookmarkStart w:name="637602577" w:id="1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трансформаторов с пленочной защитой масла – созданием внутри гибкой оболочки избыточного давления воздуха 10 кПа;</w:t>
      </w:r>
    </w:p>
    <w:bookmarkEnd w:id="1122"/>
    <w:bookmarkStart w:name="637602578" w:id="1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остальных трансформаторов – созданием избыточного давления азота или сухого воздуха 10 кПа в надмасляном пространстве расширителя.</w:t>
      </w:r>
    </w:p>
    <w:bookmarkEnd w:id="1123"/>
    <w:bookmarkStart w:name="637602579" w:id="11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испытания во всех случаях – не менее 3 ч.</w:t>
      </w:r>
    </w:p>
    <w:bookmarkEnd w:id="1124"/>
    <w:bookmarkStart w:name="637602580" w:id="1125"/>
    <w:p>
      <w:pPr>
        <w:spacing w:before="120" w:after="120" w:line="240"/>
        <w:ind w:left="0"/>
        <w:jc w:val="both"/>
      </w:pPr>
      <w:r>
        <w:rPr>
          <w:rFonts w:hint="default" w:ascii="Times New Roman" w:hAnsi="Times New Roman"/>
          <w:b w:val="false"/>
          <w:i w:val="false"/>
          <w:color w:val="000000"/>
          <w:sz w:val="24"/>
        </w:rPr>
        <w:t>Температура масла в баке при испытаниях трансформаторов напряжением до 150 кВ включительно – не ниже 10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остальных – не ниже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1125"/>
    <w:bookmarkStart w:name="637602581" w:id="11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 считается маслоплотным, если осмотром после испытания течь масла не обнаружена;</w:t>
      </w:r>
    </w:p>
    <w:bookmarkEnd w:id="1126"/>
    <w:bookmarkStart w:name="637602582" w:id="1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проверка системы охлаждения. Режим пуска и работы охлаждающих устройств должен соответствовать инструкции завода-изготовителя;</w:t>
      </w:r>
    </w:p>
    <w:bookmarkEnd w:id="1127"/>
    <w:bookmarkStart w:name="637602583" w:id="11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p>
    <w:bookmarkEnd w:id="1128"/>
    <w:bookmarkStart w:name="637602584" w:id="1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фазировка трансформаторов. Должно иметь место совпадение по фазам;</w:t>
      </w:r>
    </w:p>
    <w:bookmarkEnd w:id="1129"/>
    <w:bookmarkStart w:name="637602585" w:id="1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пунктами 1), 2), 4)–12) таблицы 93 приложения к настоящим Правилам.</w:t>
      </w:r>
    </w:p>
    <w:bookmarkEnd w:id="1130"/>
    <w:bookmarkStart w:name="637602586" w:id="1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 трансформаторов, транспортируемых без масла, до начала монтажа производится отбор пробы остатков масла (со дна).</w:t>
      </w:r>
    </w:p>
    <w:bookmarkEnd w:id="1131"/>
    <w:bookmarkStart w:name="637602587" w:id="1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Электрическая прочность остатков масла в трансформаторах напряжением 110–220 кВ должна быть не ниже 35 кВ и в трансформаторах напряжением 330–500 кВ – не ниже 45 кВ.</w:t>
      </w:r>
    </w:p>
    <w:bookmarkEnd w:id="1132"/>
    <w:bookmarkStart w:name="637602588" w:id="1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Масло из трансформаторов напряжением 110 кВ и выше, транспортируемых с маслом, до начала монтажа испытывается по показателям пунктами 1)–5) и 10) таблицы 93 приложения к настоящим Правилам.</w:t>
      </w:r>
    </w:p>
    <w:bookmarkEnd w:id="1133"/>
    <w:bookmarkStart w:name="637602589" w:id="1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пунктами 1)–9) таблицы 93 приложения к настоящим Правилам, а масла из трансформаторов напряжением 110 кВ и выше, кроме того, по пункту 10) таблицы 93 приложения к настоящим Правилам.</w:t>
      </w:r>
    </w:p>
    <w:bookmarkEnd w:id="1134"/>
    <w:bookmarkStart w:name="637602590" w:id="1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масла, залитого в трансформатор, перед включением его под напряжение после монтажа производится по показателям пунктами 1)–5) таблицы 93 приложения к настоящим Правилам.</w:t>
      </w:r>
    </w:p>
    <w:bookmarkEnd w:id="1135"/>
    <w:bookmarkStart w:name="637602591" w:id="11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испытании масла из трансформаторов напряжением 110 кВ и выше по показателям пунктами 1) – 5) таблицы 93 приложения к настоящим Правилам производится и измерение тангенса угла диэлектрических потерь масла. Измерение тангенса угла диэлектрических потерь масла производится также у трансформаторов, имеющих повышенное значение тангенса угла диэлектрических потерь изоляции.</w:t>
      </w:r>
    </w:p>
    <w:bookmarkEnd w:id="1136"/>
    <w:bookmarkStart w:name="637602592" w:id="11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 до включения трансформатора в работу разрешается испытывать только по показателям пунктами 1) и 2) таблицы 93 приложения к настоящим Правилам;</w:t>
      </w:r>
    </w:p>
    <w:bookmarkEnd w:id="1137"/>
    <w:bookmarkStart w:name="637602593" w:id="11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bookmarkEnd w:id="1138"/>
    <w:bookmarkStart w:name="637602594" w:id="11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смонтированные по схеме блока с генератором, включаются в сеть подъемом напряжения с нуля;</w:t>
      </w:r>
    </w:p>
    <w:bookmarkEnd w:id="1139"/>
    <w:bookmarkStart w:name="637602595" w:id="1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испытание вводов. Производится в соответствии с пунктом 298 настоящих Правил.</w:t>
      </w:r>
    </w:p>
    <w:bookmarkEnd w:id="1140"/>
    <w:bookmarkStart w:name="637602596" w:id="1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 Испытание встроенных трансформаторов тока производится в соответствии с пунктом 281 настоящих Правил.</w:t>
      </w:r>
    </w:p>
    <w:bookmarkEnd w:id="1141"/>
    <w:bookmarkStart w:name="637602597" w:id="1142"/>
    <w:p>
      <w:pPr>
        <w:spacing w:before="120" w:after="120" w:line="240"/>
        <w:ind w:left="0"/>
        <w:jc w:val="center"/>
      </w:pPr>
      <w:r>
        <w:rPr>
          <w:rFonts w:hint="default" w:ascii="Times New Roman" w:hAnsi="Times New Roman"/>
          <w:b/>
          <w:i w:val="false"/>
          <w:color w:val="000000"/>
          <w:sz w:val="24"/>
        </w:rPr>
        <w:t>Параграф 6. Измерительные трансформаторы</w:t>
      </w:r>
    </w:p>
    <w:bookmarkEnd w:id="1142"/>
    <w:bookmarkStart w:name="637602598" w:id="1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281. Измерительные трансформаторы испытываются в объеме, предусмотренном настоящим параграфом:</w:t>
      </w:r>
    </w:p>
    <w:bookmarkEnd w:id="1143"/>
    <w:bookmarkStart w:name="637602599" w:id="11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w:t>
      </w:r>
    </w:p>
    <w:bookmarkEnd w:id="1144"/>
    <w:bookmarkStart w:name="637602600" w:id="1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сопротивления основной изоляции трансформатора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bookmarkEnd w:id="1145"/>
    <w:bookmarkStart w:name="637602601" w:id="1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 Измеренные значения сопротивления изоляции должны быть не менее приведенных в таблице 64 приложения к настоящим Правилам.</w:t>
      </w:r>
    </w:p>
    <w:bookmarkEnd w:id="1146"/>
    <w:bookmarkStart w:name="637602602" w:id="11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bookmarkEnd w:id="1147"/>
    <w:bookmarkStart w:name="637602603" w:id="11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тангенса угла диэлектрических потерь изоляции. Производится для трансформаторов тока напряжением 110 кВ и выше.</w:t>
      </w:r>
    </w:p>
    <w:bookmarkEnd w:id="1148"/>
    <w:bookmarkStart w:name="637602604" w:id="1149"/>
    <w:p>
      <w:pPr>
        <w:spacing w:before="120" w:after="120" w:line="240"/>
        <w:ind w:left="0"/>
        <w:jc w:val="both"/>
      </w:pPr>
      <w:r>
        <w:rPr>
          <w:rFonts w:hint="default" w:ascii="Times New Roman" w:hAnsi="Times New Roman"/>
          <w:b w:val="false"/>
          <w:i w:val="false"/>
          <w:color w:val="000000"/>
          <w:sz w:val="24"/>
        </w:rPr>
        <w:t>Тангенс угла диэлектрических потерь изоляции трансформаторов тока при температуре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не должен превышать значений, приведенных в таблице 65 приложения к настоящим Правилам;</w:t>
      </w:r>
    </w:p>
    <w:bookmarkEnd w:id="1149"/>
    <w:bookmarkStart w:name="637602605" w:id="1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повышенным напряжением промышленной частоты:</w:t>
      </w:r>
    </w:p>
    <w:bookmarkEnd w:id="1150"/>
    <w:bookmarkStart w:name="637602606" w:id="1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p>
    <w:bookmarkEnd w:id="1151"/>
    <w:bookmarkStart w:name="637602607" w:id="1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испытательных напряжений для измерительных трансформаторов указаны в таблице 66 приложения к настоящим Правилам.</w:t>
      </w:r>
    </w:p>
    <w:bookmarkEnd w:id="1152"/>
    <w:bookmarkStart w:name="637602608" w:id="1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для трансформаторов напряжения 1 минуты для трансформаторов тока с керамической, жидкой или бумажно-масляной изоляцией 1 минуты для трансформаторов тока с изоляцией из твердых органических материалов или кабельных масс 5 минут;</w:t>
      </w:r>
    </w:p>
    <w:bookmarkEnd w:id="1153"/>
    <w:bookmarkStart w:name="637602609" w:id="1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обмоток. Значение испытательного напряжения для изоляции вторичных обмоток вместе с присоединенными к ним цепями составляет 1 кВ. Продолжительность приложения нормированного испытательного напряжения 1 минута;</w:t>
      </w:r>
    </w:p>
    <w:bookmarkEnd w:id="1154"/>
    <w:bookmarkStart w:name="637602610" w:id="1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Значение тока холостого хода не нормируется;</w:t>
      </w:r>
    </w:p>
    <w:bookmarkEnd w:id="1155"/>
    <w:bookmarkStart w:name="637602611" w:id="1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снятие характеристик намагничивания магнитопровода трансформаторов тока. Производится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p>
    <w:bookmarkEnd w:id="1156"/>
    <w:bookmarkStart w:name="637602612" w:id="11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у обмоток ответвлений характеристики снимаются на рабочем ответвлении.</w:t>
      </w:r>
    </w:p>
    <w:bookmarkEnd w:id="1157"/>
    <w:bookmarkStart w:name="637602613" w:id="11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p>
    <w:bookmarkEnd w:id="1158"/>
    <w:bookmarkStart w:name="637602614" w:id="11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соединения должны соответствовать паспортным данным;</w:t>
      </w:r>
    </w:p>
    <w:bookmarkEnd w:id="1159"/>
    <w:bookmarkStart w:name="637602615" w:id="11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p>
    <w:bookmarkEnd w:id="1160"/>
    <w:bookmarkStart w:name="637602616" w:id="11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измерение сопротивления обмоток постоянному току. Производится у первичных обмоток трансформаторов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2 %;</w:t>
      </w:r>
    </w:p>
    <w:bookmarkEnd w:id="1161"/>
    <w:bookmarkStart w:name="637602617" w:id="1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испытание трансформаторного масла. Производится у измерительных трансформаторов 35 кВ и выше согласно пункту 300 настоящих Правил.</w:t>
      </w:r>
    </w:p>
    <w:bookmarkEnd w:id="1162"/>
    <w:bookmarkStart w:name="637602618" w:id="11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измерительных трансформаторов, имеющих повышенное значение тангенса угла диэлектрических потерь изоляции, производится испытание масла по подпункту 10 таблицы 93 приложения к настоящим Правилам.</w:t>
      </w:r>
    </w:p>
    <w:bookmarkEnd w:id="1163"/>
    <w:bookmarkStart w:name="637602619" w:id="11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p>
    <w:bookmarkEnd w:id="1164"/>
    <w:bookmarkStart w:name="637602620" w:id="11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испытание емкостных трансформаторов напряжения типа НДЕ. Производится согласно инструкции завода-изготовителя;</w:t>
      </w:r>
    </w:p>
    <w:bookmarkEnd w:id="1165"/>
    <w:bookmarkStart w:name="637602621" w:id="11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испытание вентильных разрядников трансформаторов напряжения типа НДЕ производится в соответствии с пунктом 295 настоящих Правил.</w:t>
      </w:r>
    </w:p>
    <w:bookmarkEnd w:id="1166"/>
    <w:bookmarkStart w:name="637602622" w:id="1167"/>
    <w:p>
      <w:pPr>
        <w:spacing w:before="120" w:after="120" w:line="240"/>
        <w:ind w:left="0"/>
        <w:jc w:val="center"/>
      </w:pPr>
      <w:r>
        <w:rPr>
          <w:rFonts w:hint="default" w:ascii="Times New Roman" w:hAnsi="Times New Roman"/>
          <w:b/>
          <w:i w:val="false"/>
          <w:color w:val="000000"/>
          <w:sz w:val="24"/>
        </w:rPr>
        <w:t>Параграф 7. Масляные выключатели</w:t>
      </w:r>
    </w:p>
    <w:bookmarkEnd w:id="1167"/>
    <w:bookmarkStart w:name="637602623" w:id="1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282. Масляные выключатели всех классов напряжения испытываются в объеме, предусмотренном настоящим параграфом.</w:t>
      </w:r>
    </w:p>
    <w:bookmarkEnd w:id="1168"/>
    <w:bookmarkStart w:name="637602624" w:id="1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w:t>
      </w:r>
    </w:p>
    <w:bookmarkEnd w:id="1169"/>
    <w:bookmarkStart w:name="637602625" w:id="11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подвижных и направляющих частей, выполненных из органических материалов. Производится мегаомметром на напряжение 2,5 кВ.</w:t>
      </w:r>
    </w:p>
    <w:bookmarkEnd w:id="1170"/>
    <w:bookmarkStart w:name="637602626" w:id="11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не должно быть менее значений, приведенных ниже:</w:t>
      </w:r>
    </w:p>
    <w:bookmarkEnd w:id="1171"/>
    <w:bookmarkStart w:name="637602627" w:id="1172"/>
    <w:tbl>
      <w:tblPr>
        <w:tblW w:w="18660" w:type="auto"/>
        <w:tblCellSpacing w:w="0" w:type="auto"/>
        <w:tblBorders>
          <w:top w:val="none"/>
          <w:left w:val="none"/>
          <w:bottom w:val="none"/>
          <w:right w:val="none"/>
          <w:insideH w:val="none"/>
          <w:insideV w:val="none"/>
        </w:tblBorders>
        <w:tblLayout/>
      </w:tblPr>
      <w:tblGrid>
        <w:gridCol w:w="7877"/>
        <w:gridCol w:w="2656"/>
        <w:gridCol w:w="2711"/>
        <w:gridCol w:w="2756"/>
      </w:tblGrid>
      <w:tr>
        <w:trPr>
          <w:trHeight w:val="30" w:hRule="atLeast"/>
        </w:trPr>
        <w:tc>
          <w:tcPr>
            <w:tcW w:w="78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выключателя, кВ</w:t>
            </w:r>
          </w:p>
        </w:tc>
        <w:tc>
          <w:tcPr>
            <w:tcW w:w="2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2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15–150</w:t>
            </w:r>
          </w:p>
        </w:tc>
        <w:tc>
          <w:tcPr>
            <w:tcW w:w="27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220–500</w:t>
            </w:r>
          </w:p>
        </w:tc>
      </w:tr>
      <w:tr>
        <w:trPr>
          <w:trHeight w:val="30" w:hRule="atLeast"/>
        </w:trPr>
        <w:tc>
          <w:tcPr>
            <w:tcW w:w="78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МОм</w:t>
            </w:r>
          </w:p>
        </w:tc>
        <w:tc>
          <w:tcPr>
            <w:tcW w:w="2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27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5000</w:t>
            </w:r>
          </w:p>
        </w:tc>
      </w:tr>
    </w:tbl>
    <w:bookmarkEnd w:id="1172"/>
    <w:bookmarkStart w:name="637602628" w:id="1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электромагнитов включения и отключения Производится в соответствии с пунктом 301 настоящих Правил.</w:t>
      </w:r>
    </w:p>
    <w:bookmarkEnd w:id="1173"/>
    <w:bookmarkStart w:name="637602629" w:id="11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вводов. Производится в соответствии с пунктом 298 настоящих Правил;</w:t>
      </w:r>
    </w:p>
    <w:bookmarkEnd w:id="1174"/>
    <w:bookmarkStart w:name="637602630" w:id="1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до установки вводов в выключатель;</w:t>
      </w:r>
    </w:p>
    <w:bookmarkEnd w:id="1175"/>
    <w:bookmarkStart w:name="637602631" w:id="1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изоляции повышенным напряжением промышленной частоты:</w:t>
      </w:r>
    </w:p>
    <w:bookmarkEnd w:id="1176"/>
    <w:bookmarkStart w:name="637602632" w:id="11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таблицы 67 приложения к настоящим Правилам;</w:t>
      </w:r>
    </w:p>
    <w:bookmarkEnd w:id="1177"/>
    <w:bookmarkStart w:name="637602633" w:id="1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1 минута;</w:t>
      </w:r>
    </w:p>
    <w:bookmarkEnd w:id="1178"/>
    <w:bookmarkStart w:name="637602634" w:id="1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минута;</w:t>
      </w:r>
    </w:p>
    <w:bookmarkEnd w:id="1179"/>
    <w:bookmarkStart w:name="637602635" w:id="11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измерение сопротивления постоянному току:</w:t>
      </w:r>
    </w:p>
    <w:bookmarkEnd w:id="1180"/>
    <w:bookmarkStart w:name="637602636" w:id="1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контактов масляных выключателей. Измеряется сопротивление токоведущей системы полюса выключателя и отдельных его элементов;</w:t>
      </w:r>
    </w:p>
    <w:bookmarkEnd w:id="1181"/>
    <w:bookmarkStart w:name="637602637" w:id="1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значение сопротивления контактов постоянному току должно соответствовать данным завода-изготовителя;</w:t>
      </w:r>
    </w:p>
    <w:bookmarkEnd w:id="1182"/>
    <w:bookmarkStart w:name="637602638" w:id="11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шунтирующих резисторов дугогасительных устройств. Измеренное значение сопротивления должно отличаться от заводских данных не более чем на 3 %;</w:t>
      </w:r>
    </w:p>
    <w:bookmarkEnd w:id="1183"/>
    <w:bookmarkStart w:name="637602639" w:id="1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электромагнитов включения и отключения. Значение сопротивлений обмоток должно соответствовать данным заводов-изготовителей;</w:t>
      </w:r>
    </w:p>
    <w:bookmarkEnd w:id="1184"/>
    <w:bookmarkStart w:name="637602640" w:id="1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производится для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p>
    <w:bookmarkEnd w:id="1185"/>
    <w:bookmarkStart w:name="637602641" w:id="1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p>
    <w:bookmarkEnd w:id="1186"/>
    <w:bookmarkStart w:name="637602642" w:id="1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p>
    <w:bookmarkEnd w:id="1187"/>
    <w:bookmarkStart w:name="637602643" w:id="1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w:t>
      </w:r>
    </w:p>
    <w:bookmarkEnd w:id="1188"/>
    <w:bookmarkStart w:name="637602644" w:id="1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p>
    <w:bookmarkEnd w:id="1189"/>
    <w:bookmarkStart w:name="637602645" w:id="1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Напряжение срабатывания должно быть на 15–20 % меньше нижнего предела рабочего напряжения на зажимах электромагнитов приводов, а давление срабатывания пневмоприводов – на 20–30 %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p>
    <w:bookmarkEnd w:id="1190"/>
    <w:bookmarkStart w:name="637602646" w:id="11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Масляные выключатели должны обеспечивать надежную работу при следующих значениях напряжения на зажимах электромагнитов приводов: при отключении 65–120 % номинального при включении выключателей 80–110 % номинального (с номинальным током включения до 50 к1) и 85–110 % номинального (с номинальным током включения более 50 к1). Для выключателей с пневмоприводами диапазон изменения рабочего давления должен быть не менее 90–110 %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p>
    <w:bookmarkEnd w:id="1191"/>
    <w:bookmarkStart w:name="637602647" w:id="11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110, 100, 80 (85) % номинального и минимальном напряжении срабатывания; отключения 120, 100, 65 % номинального и минимальном напряжении срабатывания.</w:t>
      </w:r>
    </w:p>
    <w:bookmarkEnd w:id="1192"/>
    <w:bookmarkStart w:name="637602648" w:id="11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Количество операций при пониженном и повышенном напряжениях должно быть 3–5, а при номинальном напряжении – 10.</w:t>
      </w:r>
    </w:p>
    <w:bookmarkEnd w:id="1193"/>
    <w:bookmarkStart w:name="637602649" w:id="11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выключатели подвергается 3–5-кратному опробованию в цикле В – О (без выдержки времени), а выключатели, предназначенные для работы в режиме АПВ, также 2–3-кратному опробованию в циклах О – В и О – В – О. Работа выключателя в сложных циклах должна проверяться при номинальном и пониженном до 80 % (85 %) номинального напряжения на зажимах электромагнитов приводов;</w:t>
      </w:r>
    </w:p>
    <w:bookmarkEnd w:id="1194"/>
    <w:bookmarkStart w:name="637602650" w:id="1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bookmarkEnd w:id="1195"/>
    <w:bookmarkStart w:name="637602651" w:id="11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малообъемных выключателей до 35 кВ масло испытывается до заливки в дугогасительные камеры. Испытание масла производится в соответствии с пунктом 300 настоящих Правил;</w:t>
      </w:r>
    </w:p>
    <w:bookmarkEnd w:id="1196"/>
    <w:bookmarkStart w:name="637602652" w:id="1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испытание встроенных трансформаторов тока. Производится в соответствии с пунктом 281 настоящих Правил.</w:t>
      </w:r>
    </w:p>
    <w:bookmarkEnd w:id="1197"/>
    <w:bookmarkStart w:name="637602653" w:id="1198"/>
    <w:p>
      <w:pPr>
        <w:spacing w:before="120" w:after="120" w:line="240"/>
        <w:ind w:left="0"/>
        <w:jc w:val="center"/>
      </w:pPr>
      <w:r>
        <w:rPr>
          <w:rFonts w:hint="default" w:ascii="Times New Roman" w:hAnsi="Times New Roman"/>
          <w:b/>
          <w:i w:val="false"/>
          <w:color w:val="000000"/>
          <w:sz w:val="24"/>
        </w:rPr>
        <w:t>Параграф 8. Воздушные выключатели</w:t>
      </w:r>
    </w:p>
    <w:bookmarkEnd w:id="1198"/>
    <w:bookmarkStart w:name="637602654" w:id="1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283. Воздушные выключатели всех классов напряжения испытываются в объеме, предусмотренном настоящим параграфом:</w:t>
      </w:r>
    </w:p>
    <w:bookmarkEnd w:id="1199"/>
    <w:bookmarkStart w:name="637602655" w:id="1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w:t>
      </w:r>
    </w:p>
    <w:bookmarkEnd w:id="1200"/>
    <w:bookmarkStart w:name="637602656" w:id="1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опорных изоляторов, изоляторов гасительных камер и отделителей и изолирующих тяг выключателей всех классов напряжений. Производится мегаомметром на напряжение 2,5 кВ или от источника напряжения выпрямленного тока.</w:t>
      </w:r>
    </w:p>
    <w:bookmarkEnd w:id="1201"/>
    <w:bookmarkStart w:name="637602657" w:id="1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необходимости измерение сопротивления изоляции опорных изоляторов, изоляторов гасительных камер и отделителей производится с установкой охранных колец на внешней поверхности.</w:t>
      </w:r>
    </w:p>
    <w:bookmarkEnd w:id="1202"/>
    <w:bookmarkStart w:name="637602658" w:id="1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должно быть не ниже значений, приведенных в таблице 68 приложения к настоящим Правилам.</w:t>
      </w:r>
    </w:p>
    <w:bookmarkEnd w:id="1203"/>
    <w:bookmarkStart w:name="637602659" w:id="12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обмоток электромагнитов включения и отключения. Производится в соответствии с пунктом 302 настоящих Правил;</w:t>
      </w:r>
    </w:p>
    <w:bookmarkEnd w:id="1204"/>
    <w:bookmarkStart w:name="637602660" w:id="1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205"/>
    <w:bookmarkStart w:name="637602661" w:id="1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выключателей. Необходимо для выключателей до 35 кВ. Опорная цельнофарфоровая изоляция выключателей испытывается повышенным напряжением промышленной частоты в соответствии с таблицей 67 приложения к настоящим Правилам. Продолжительность приложения нормированного испытательного напряжения 1 минута.</w:t>
      </w:r>
    </w:p>
    <w:bookmarkEnd w:id="1206"/>
    <w:bookmarkStart w:name="637602662" w:id="1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выключателей, состоящая из многоэлементных изоляторов, испытывается в соответствии с пунктом 298 настоящих Правил;</w:t>
      </w:r>
    </w:p>
    <w:bookmarkEnd w:id="1207"/>
    <w:bookmarkStart w:name="637602663" w:id="1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цепей и обмоток электромагнитов управления производится в соответствии с пунктом 299 настоящих Правил;</w:t>
      </w:r>
    </w:p>
    <w:bookmarkEnd w:id="1208"/>
    <w:bookmarkStart w:name="637602664" w:id="12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токоведущего контура (главной цепи) постоянному току:</w:t>
      </w:r>
    </w:p>
    <w:bookmarkEnd w:id="1209"/>
    <w:bookmarkStart w:name="637602665" w:id="1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токоведущего контура должно измеряться по частям, для каждого дугогасительного устройства (модуля), элемента (разрыва) гасительной камеры и отделителя, внутриполюсной ошиновки в отдельности. Наибольшие допустимые значения сопротивления контактов воздушных выключателей приведены в таблице 69 приложения к настоящим Правилам.</w:t>
      </w:r>
    </w:p>
    <w:bookmarkEnd w:id="1210"/>
    <w:bookmarkStart w:name="637602666" w:id="1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электромагнитов включения и отключения выключателей. Устанавливается для каждого типа выключателей согласно таблице 70 приложения к настоящим Правилам или данным завода-изготовителя.</w:t>
      </w:r>
    </w:p>
    <w:bookmarkEnd w:id="1211"/>
    <w:bookmarkStart w:name="637602667" w:id="1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Делителей напряжения и шунтирующих резисторов выключателя. Для них нормы устанавливаются по данным завода-изготовителя:</w:t>
      </w:r>
    </w:p>
    <w:bookmarkEnd w:id="1212"/>
    <w:bookmarkStart w:name="637602668" w:id="1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bookmarkEnd w:id="1213"/>
    <w:bookmarkStart w:name="637602669" w:id="1214"/>
    <w:p>
      <w:pPr>
        <w:spacing w:before="120" w:after="120" w:line="240"/>
        <w:ind w:left="0"/>
        <w:jc w:val="both"/>
      </w:pPr>
      <w:r>
        <w:rPr>
          <w:rFonts w:hint="default" w:ascii="Times New Roman" w:hAnsi="Times New Roman"/>
          <w:b w:val="false"/>
          <w:i w:val="false"/>
          <w:color w:val="000000"/>
          <w:sz w:val="24"/>
        </w:rPr>
        <w:t>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должно быть не более 65 % номинального;</w:t>
      </w:r>
    </w:p>
    <w:bookmarkEnd w:id="1214"/>
    <w:bookmarkStart w:name="637602670" w:id="12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таблице 71 приложения к настоящим Правилам;</w:t>
      </w:r>
    </w:p>
    <w:bookmarkEnd w:id="1215"/>
    <w:bookmarkStart w:name="637602671" w:id="1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испытание конденсаторов делителей напряжения воздушных выключателей. Производится в соответствии с пунктом 295 настоящих Правил;</w:t>
      </w:r>
    </w:p>
    <w:bookmarkEnd w:id="1216"/>
    <w:bookmarkStart w:name="637602672" w:id="1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хода якоря электромагнита управления. Ход якоря электромагнита с форсировкой должен быть равен 8 (–1) мм.</w:t>
      </w:r>
    </w:p>
    <w:bookmarkEnd w:id="1217"/>
    <w:bookmarkStart w:name="637602673" w:id="1218"/>
    <w:p>
      <w:pPr>
        <w:spacing w:before="120" w:after="120" w:line="240"/>
        <w:ind w:left="0"/>
        <w:jc w:val="center"/>
      </w:pPr>
      <w:r>
        <w:rPr>
          <w:rFonts w:hint="default" w:ascii="Times New Roman" w:hAnsi="Times New Roman"/>
          <w:b/>
          <w:i w:val="false"/>
          <w:color w:val="000000"/>
          <w:sz w:val="24"/>
        </w:rPr>
        <w:t>Параграф 9. Выключатели нагрузки</w:t>
      </w:r>
    </w:p>
    <w:bookmarkEnd w:id="1218"/>
    <w:bookmarkStart w:name="637602674" w:id="1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284. Полностью собранный и отрегулированный выключатель нагрузки испытывается в объеме, предусмотренном настоящим параграфом:</w:t>
      </w:r>
    </w:p>
    <w:bookmarkEnd w:id="1219"/>
    <w:bookmarkStart w:name="637602675" w:id="1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вторичных цепей и обмоток электромагнитов управления производится в соответствии с пунктом 302 настоящих Правил;</w:t>
      </w:r>
    </w:p>
    <w:bookmarkEnd w:id="1220"/>
    <w:bookmarkStart w:name="637602676" w:id="12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221"/>
    <w:bookmarkStart w:name="637602677" w:id="1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выключателя нагрузки производится в соответствии с таблицей 67 приложения к настоящим Правилам.</w:t>
      </w:r>
    </w:p>
    <w:bookmarkEnd w:id="1222"/>
    <w:bookmarkStart w:name="637602678" w:id="1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цепей и обмоток электромагнитов управления. Производится в соответствии с пунктом 299 настоящих Правил;</w:t>
      </w:r>
    </w:p>
    <w:bookmarkEnd w:id="1223"/>
    <w:bookmarkStart w:name="637602679" w:id="1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постоянному току:</w:t>
      </w:r>
    </w:p>
    <w:bookmarkEnd w:id="1224"/>
    <w:bookmarkStart w:name="637602680" w:id="1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bookmarkEnd w:id="1225"/>
    <w:bookmarkStart w:name="637602681" w:id="1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электромагнитов управления. Значение сопротивления должно соответствовать данным завода-изготовителя;</w:t>
      </w:r>
    </w:p>
    <w:bookmarkEnd w:id="1226"/>
    <w:bookmarkStart w:name="637602682" w:id="1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действия механизма свободного расцепления. Механизм свободного расцепления проверяется в работе в соответствии с подпунктом 9) пункта 282 настоящих Правил;</w:t>
      </w:r>
    </w:p>
    <w:bookmarkEnd w:id="1227"/>
    <w:bookmarkStart w:name="637602683" w:id="1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срабатывания привода при пониженном напряжении производится в соответствии с подпунктом 10) пункта 282 настоящих Правил;</w:t>
      </w:r>
    </w:p>
    <w:bookmarkEnd w:id="1228"/>
    <w:bookmarkStart w:name="637602684" w:id="1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испытание выключателя нагрузки многократным опробованием производится в соответствии с подпунктом 11) пункта 282 настоящих Правил;</w:t>
      </w:r>
    </w:p>
    <w:bookmarkEnd w:id="1229"/>
    <w:bookmarkStart w:name="637602685" w:id="1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испытание предохранителей производится в соответствии с пунктом 297 настоящих Правил.</w:t>
      </w:r>
    </w:p>
    <w:bookmarkEnd w:id="1230"/>
    <w:bookmarkStart w:name="637602686" w:id="1231"/>
    <w:p>
      <w:pPr>
        <w:spacing w:before="120" w:after="120" w:line="240"/>
        <w:ind w:left="0"/>
        <w:jc w:val="center"/>
      </w:pPr>
      <w:r>
        <w:rPr>
          <w:rFonts w:hint="default" w:ascii="Times New Roman" w:hAnsi="Times New Roman"/>
          <w:b/>
          <w:i w:val="false"/>
          <w:color w:val="000000"/>
          <w:sz w:val="24"/>
        </w:rPr>
        <w:t>Параграф 10. Элегазовые выключатели</w:t>
      </w:r>
    </w:p>
    <w:bookmarkEnd w:id="1231"/>
    <w:bookmarkStart w:name="637602687" w:id="1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285. Полностью собранный и отрегулированный элегазовый выключатель испытывается в объеме, предусмотренном настоящим параграфом:</w:t>
      </w:r>
    </w:p>
    <w:bookmarkEnd w:id="1232"/>
    <w:bookmarkStart w:name="637602688" w:id="1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вторичных цепей и обмоток электромагнитов управления производится в соответствии с подпунктом 1) пункта 301 настоящих Правил;</w:t>
      </w:r>
    </w:p>
    <w:bookmarkEnd w:id="1233"/>
    <w:bookmarkStart w:name="637602689" w:id="12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изоляции: Производится в соответствии с подпунктом 2) пункта 301 настоящих Правил:</w:t>
      </w:r>
    </w:p>
    <w:bookmarkEnd w:id="1234"/>
    <w:bookmarkStart w:name="637602690" w:id="1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повышенным напряжением промышленной частоты 50 Гц. Испытание электрической прочности изоляции производится на полностью собранном аппарате напряжением 35 кВ и ниже.</w:t>
      </w:r>
    </w:p>
    <w:bookmarkEnd w:id="1235"/>
    <w:bookmarkStart w:name="637602691" w:id="1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Значение испытательного напряжения принимается согласно таблице 67 приложения к настоящим Правилам.</w:t>
      </w:r>
    </w:p>
    <w:bookmarkEnd w:id="1236"/>
    <w:bookmarkStart w:name="637602692" w:id="1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и обмоток электромагнитов управления. Производится в соответствии с подпунктом 2) пункта 301 настоящих Правил;</w:t>
      </w:r>
    </w:p>
    <w:bookmarkEnd w:id="1237"/>
    <w:bookmarkStart w:name="637602693" w:id="1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постоянному току:</w:t>
      </w:r>
    </w:p>
    <w:bookmarkEnd w:id="1238"/>
    <w:bookmarkStart w:name="637602694" w:id="1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главной цепи производится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p>
    <w:bookmarkEnd w:id="1239"/>
    <w:bookmarkStart w:name="637602695" w:id="1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электромагнитов управления и добавочных резисторов в их цепи. Значение сопротивления должно соответствовать заводским нормам;</w:t>
      </w:r>
    </w:p>
    <w:bookmarkEnd w:id="1240"/>
    <w:bookmarkStart w:name="637602696" w:id="1241"/>
    <w:p>
      <w:pPr>
        <w:spacing w:before="120" w:after="120" w:line="240"/>
        <w:ind w:left="0"/>
        <w:jc w:val="both"/>
      </w:pPr>
      <w:r>
        <w:rPr>
          <w:rFonts w:hint="default" w:ascii="Times New Roman" w:hAnsi="Times New Roman"/>
          <w:b w:val="false"/>
          <w:i w:val="false"/>
          <w:color w:val="000000"/>
          <w:sz w:val="24"/>
        </w:rPr>
        <w:t>4) Проверка минимального напряжения срабатывания выключателей. Выключатели должны срабатывать при напряжении не более 0,7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при питании привода от источника постоянного тока; 0,65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bookmarkEnd w:id="1241"/>
    <w:bookmarkStart w:name="637602697" w:id="12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Испытание конденсаторов делителей напряжения. Испытания должны выполняться согласно указаниям пункта 295 настоящих Правил. Значение измеренной емкости должно соответствовать норме завода-изготовителя;</w:t>
      </w:r>
    </w:p>
    <w:bookmarkEnd w:id="1242"/>
    <w:bookmarkStart w:name="637602698" w:id="12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характеристик выключателя. 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 Виды операций и сложных циклов, значения давлений в резервуаре привода и напряжений оперативного тока, при которых должна производиться проверка характеристик выключателей, приведены в таблице 71 приложения к настоящим Правилам. 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p>
    <w:bookmarkEnd w:id="1243"/>
    <w:bookmarkStart w:name="637602699" w:id="1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Испытание выключателей многократными опробованиями производится в соответствии с подпунктом 11) пункта 283 настоящих Правил и таблицы 71 приложения к настоящим Правилам;</w:t>
      </w:r>
    </w:p>
    <w:bookmarkEnd w:id="1244"/>
    <w:bookmarkStart w:name="637602700" w:id="1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Контроль наличия утечки газа. Проверка герметичности производится с помощью течеискателя. При контроле наличия утечки газа щупом течеискателя обследуются места уплотнений стыковых соединений и сварных швов выключателя.</w:t>
      </w:r>
    </w:p>
    <w:bookmarkEnd w:id="1245"/>
    <w:bookmarkStart w:name="637602701" w:id="1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p>
    <w:bookmarkEnd w:id="1246"/>
    <w:bookmarkStart w:name="637602702" w:id="1247"/>
    <w:p>
      <w:pPr>
        <w:spacing w:before="120" w:after="120" w:line="240"/>
        <w:ind w:left="0"/>
        <w:jc w:val="both"/>
      </w:pPr>
      <w:r>
        <w:rPr>
          <w:rFonts w:hint="default" w:ascii="Times New Roman" w:hAnsi="Times New Roman"/>
          <w:b w:val="false"/>
          <w:i w:val="false"/>
          <w:color w:val="000000"/>
          <w:sz w:val="24"/>
        </w:rPr>
        <w:t>9) Проверка содержания влаги в элегазе. Определяется на основании измерения точки росы. Температура точки росы элегаза должна быть не выше минус 50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1247"/>
    <w:bookmarkStart w:name="637602703" w:id="1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Испытания встроенных трансформаторов тока. Производятся в соответствии с пунктом 282 настоящих Правил.</w:t>
      </w:r>
    </w:p>
    <w:bookmarkEnd w:id="1248"/>
    <w:bookmarkStart w:name="637602704" w:id="1249"/>
    <w:p>
      <w:pPr>
        <w:spacing w:before="120" w:after="120" w:line="240"/>
        <w:ind w:left="0"/>
        <w:jc w:val="center"/>
      </w:pPr>
      <w:r>
        <w:rPr>
          <w:rFonts w:hint="default" w:ascii="Times New Roman" w:hAnsi="Times New Roman"/>
          <w:b/>
          <w:i w:val="false"/>
          <w:color w:val="000000"/>
          <w:sz w:val="24"/>
        </w:rPr>
        <w:t>Параграф 11. Вакуумные выключатели</w:t>
      </w:r>
    </w:p>
    <w:bookmarkEnd w:id="1249"/>
    <w:bookmarkStart w:name="637602705" w:id="1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286. Полностью собранный и отрегулированный вакуумный выключатель испытывается в объеме, предусмотренном настоящим параграфом:</w:t>
      </w:r>
    </w:p>
    <w:bookmarkEnd w:id="1250"/>
    <w:bookmarkStart w:name="637602706" w:id="1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вторичных цепей и обмоток электромагнитов управления. Производится в соответствии с подпунктом 1) пункта 302 настоящих Правил;</w:t>
      </w:r>
    </w:p>
    <w:bookmarkEnd w:id="1251"/>
    <w:bookmarkStart w:name="637602707" w:id="12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изоляции повышенным напряжением частоты 50 Гц:</w:t>
      </w:r>
    </w:p>
    <w:bookmarkEnd w:id="1252"/>
    <w:bookmarkStart w:name="637602708" w:id="12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выключателя. Значение испытательного напряжения принимается согласно таблице 67 приложения к настоящим Правилам;</w:t>
      </w:r>
    </w:p>
    <w:bookmarkEnd w:id="1253"/>
    <w:bookmarkStart w:name="637602709" w:id="12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и обмоток электромагнитов управления. Производится в соответствии с подпунктом 2) пункта 302 настоящих Правил;</w:t>
      </w:r>
    </w:p>
    <w:bookmarkEnd w:id="1254"/>
    <w:bookmarkStart w:name="637602710" w:id="12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минимального напряжения срабатывания выключателя.</w:t>
      </w:r>
    </w:p>
    <w:bookmarkEnd w:id="1255"/>
    <w:bookmarkStart w:name="637602711" w:id="1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Электромагниты управления вакуумных выключателей должны срабатывать:</w:t>
      </w:r>
    </w:p>
    <w:bookmarkEnd w:id="1256"/>
    <w:bookmarkStart w:name="637602712" w:id="1257"/>
    <w:p>
      <w:pPr>
        <w:spacing w:before="120" w:after="120" w:line="240"/>
        <w:ind w:left="0"/>
        <w:jc w:val="both"/>
      </w:pPr>
      <w:r>
        <w:rPr>
          <w:rFonts w:hint="default" w:ascii="Times New Roman" w:hAnsi="Times New Roman"/>
          <w:b w:val="false"/>
          <w:i w:val="false"/>
          <w:color w:val="000000"/>
          <w:sz w:val="24"/>
        </w:rPr>
        <w:t>электромагниты включения при напряжении не менее 0,85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1257"/>
    <w:bookmarkStart w:name="637602713" w:id="1258"/>
    <w:p>
      <w:pPr>
        <w:spacing w:before="120" w:after="120" w:line="240"/>
        <w:ind w:left="0"/>
        <w:jc w:val="both"/>
      </w:pPr>
      <w:r>
        <w:rPr>
          <w:rFonts w:hint="default" w:ascii="Times New Roman" w:hAnsi="Times New Roman"/>
          <w:b w:val="false"/>
          <w:i w:val="false"/>
          <w:color w:val="000000"/>
          <w:sz w:val="24"/>
        </w:rPr>
        <w:t>электромагниты отключения при напряжении не менее 0,7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1258"/>
    <w:bookmarkStart w:name="637602714" w:id="12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выключателей многократными опробованиями. Число операций и сложных циклов, подлежащих выполнению выключателями при номинальном напряжении на выводах электромагнитов, должно составлять:</w:t>
      </w:r>
    </w:p>
    <w:bookmarkEnd w:id="1259"/>
    <w:bookmarkStart w:name="637602715" w:id="1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 операций включения и отключения;</w:t>
      </w:r>
    </w:p>
    <w:bookmarkEnd w:id="1260"/>
    <w:bookmarkStart w:name="637602716" w:id="1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2–3 цикла В–О без выдержки времени между операциями.</w:t>
      </w:r>
    </w:p>
    <w:bookmarkEnd w:id="1261"/>
    <w:bookmarkStart w:name="637602717" w:id="1262"/>
    <w:p>
      <w:pPr>
        <w:spacing w:before="120" w:after="120" w:line="240"/>
        <w:ind w:left="0"/>
        <w:jc w:val="center"/>
      </w:pPr>
      <w:r>
        <w:rPr>
          <w:rFonts w:hint="default" w:ascii="Times New Roman" w:hAnsi="Times New Roman"/>
          <w:b/>
          <w:i w:val="false"/>
          <w:color w:val="000000"/>
          <w:sz w:val="24"/>
        </w:rPr>
        <w:t>Параграф 12. Разъединители, отделители и короткозамыкатели</w:t>
      </w:r>
    </w:p>
    <w:bookmarkEnd w:id="1262"/>
    <w:bookmarkStart w:name="637602718" w:id="1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287.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параграфом:</w:t>
      </w:r>
    </w:p>
    <w:bookmarkEnd w:id="1263"/>
    <w:bookmarkStart w:name="637602719" w:id="1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сопротивления изоляции:</w:t>
      </w:r>
    </w:p>
    <w:bookmarkEnd w:id="1264"/>
    <w:bookmarkStart w:name="637602720" w:id="1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подпункте 1) пункта 299 настоящих Правил;</w:t>
      </w:r>
    </w:p>
    <w:bookmarkEnd w:id="1265"/>
    <w:bookmarkStart w:name="637602721" w:id="1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многоэлементных изоляторов, производится в соответствии с подпунктом 2) пункта 299 настоящих Правил;</w:t>
      </w:r>
    </w:p>
    <w:bookmarkEnd w:id="1266"/>
    <w:bookmarkStart w:name="637602722" w:id="1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и обмоток электромагнитов управления производится в соответствии с подпунктом 1) пункта 291 настоящих Правил;</w:t>
      </w:r>
    </w:p>
    <w:bookmarkEnd w:id="1267"/>
    <w:bookmarkStart w:name="637602723" w:id="1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268"/>
    <w:bookmarkStart w:name="637602724" w:id="12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разъединителей, отделителей и короткозамыкателей производится в соответствии с таблицей 67 приложения к настоящим Правилам;</w:t>
      </w:r>
    </w:p>
    <w:bookmarkEnd w:id="1269"/>
    <w:bookmarkStart w:name="637602725" w:id="1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цепей и обмоток электромагнитов управления производится в соответствии с подпунктом 2) пункта 302 настоящих Правил;</w:t>
      </w:r>
    </w:p>
    <w:bookmarkEnd w:id="1270"/>
    <w:bookmarkStart w:name="637602726" w:id="1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постоянному току:</w:t>
      </w:r>
    </w:p>
    <w:bookmarkEnd w:id="1271"/>
    <w:bookmarkStart w:name="637602727" w:id="12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контактной системы разъединителей и отделителей напряжением 110 кВ и выше. Измеренные значения должны соответствовать данным заводов-изготовителей или приведенным в таблице 72 приложения к настоящим Правилам.</w:t>
      </w:r>
    </w:p>
    <w:bookmarkEnd w:id="1272"/>
    <w:bookmarkStart w:name="637602728" w:id="1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обмоток электромагнитов управления. Значения сопротивления обмоток должны соответствовать данным заводов-изготовителей;</w:t>
      </w:r>
    </w:p>
    <w:bookmarkEnd w:id="1273"/>
    <w:bookmarkStart w:name="637602729" w:id="1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вытягивающих усилий подвижных контактов из неподвижных. Производится у разъединителей и отделителей 35 кВ, а в электроустановка энергопроизводящих, энергоснабжающих, энергопередающих организаций и потребителей – независимо от класса напряжения. Измерение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таблице 73 приложения к настоящим Правилам.</w:t>
      </w:r>
    </w:p>
    <w:bookmarkEnd w:id="1274"/>
    <w:bookmarkStart w:name="637602730" w:id="1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указанных в таблице 73 приложения к настоящим Правилам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p>
    <w:bookmarkEnd w:id="1275"/>
    <w:bookmarkStart w:name="637602731" w:id="1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работы. Проверка аппаратов с ручным управлением производится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5–10 циклов включения и отключения при пониженном до 80 % номинального напряжения на зажимах электромагнитов (электродвигателей) включения и отключения;</w:t>
      </w:r>
    </w:p>
    <w:bookmarkEnd w:id="1276"/>
    <w:bookmarkStart w:name="637602732" w:id="1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таблице 74 приложения к настоящим Правилам.</w:t>
      </w:r>
    </w:p>
    <w:bookmarkEnd w:id="1277"/>
    <w:bookmarkStart w:name="637602733" w:id="1278"/>
    <w:p>
      <w:pPr>
        <w:spacing w:before="120" w:after="120" w:line="240"/>
        <w:ind w:left="0"/>
        <w:jc w:val="center"/>
      </w:pPr>
      <w:r>
        <w:rPr>
          <w:rFonts w:hint="default" w:ascii="Times New Roman" w:hAnsi="Times New Roman"/>
          <w:b/>
          <w:i w:val="false"/>
          <w:color w:val="000000"/>
          <w:sz w:val="24"/>
        </w:rPr>
        <w:t>Параграф 13. Комплектные распределительные устройствавнутренней и наружной установки (КРУ и КРУН)</w:t>
      </w:r>
    </w:p>
    <w:bookmarkEnd w:id="1278"/>
    <w:bookmarkStart w:name="637602734" w:id="12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288. Комплектные распределительные устройства после монтажа на месте установки испытываются в объеме, предусмотренном настоящим параграфом.</w:t>
      </w:r>
    </w:p>
    <w:bookmarkEnd w:id="1279"/>
    <w:bookmarkStart w:name="637602735" w:id="1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bookmarkEnd w:id="1280"/>
    <w:bookmarkStart w:name="637602736" w:id="12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w:t>
      </w:r>
    </w:p>
    <w:bookmarkEnd w:id="1281"/>
    <w:bookmarkStart w:name="637602737" w:id="12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первичных цепей производится мегаомметром на напряжение 2,5 кВ.</w:t>
      </w:r>
    </w:p>
    <w:bookmarkEnd w:id="1282"/>
    <w:bookmarkStart w:name="637602738" w:id="12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p>
    <w:bookmarkEnd w:id="1283"/>
    <w:bookmarkStart w:name="637602739" w:id="12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p>
    <w:bookmarkEnd w:id="1284"/>
    <w:bookmarkStart w:name="637602740" w:id="1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вторичных цепей производится мегаомметром на напряжение 0,5–1 кВ.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должно быть не менее 1 МОм;</w:t>
      </w:r>
    </w:p>
    <w:bookmarkEnd w:id="1285"/>
    <w:bookmarkStart w:name="637602741" w:id="1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286"/>
    <w:bookmarkStart w:name="637602742" w:id="12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первичных цепей ячеек КРУ и КРУН. Испытательное напряжение полностью смонтированных ячеек КРУ и КРУН при вкаченных в рабочее положение тележках и закрытых дверях указано в таблице 75 приложения к настоящим Правилам.</w:t>
      </w:r>
    </w:p>
    <w:bookmarkEnd w:id="1287"/>
    <w:bookmarkStart w:name="637602743" w:id="12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для ячеек с керамической изоляцией 1 минута;</w:t>
      </w:r>
    </w:p>
    <w:bookmarkEnd w:id="1288"/>
    <w:bookmarkStart w:name="637602744" w:id="12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ячеек с изоляцией из твердых органических материалов 5 минут;</w:t>
      </w:r>
    </w:p>
    <w:bookmarkEnd w:id="1289"/>
    <w:bookmarkStart w:name="637602745" w:id="12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вторичных цепей. Производится напряжением 1 кВ. Продолжительность приложения нормированного испытательного напряжения 1 минута;</w:t>
      </w:r>
    </w:p>
    <w:bookmarkEnd w:id="1290"/>
    <w:bookmarkStart w:name="637602746" w:id="12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таблице 76 приложения к настоящим Правилам;</w:t>
      </w:r>
    </w:p>
    <w:bookmarkEnd w:id="1291"/>
    <w:bookmarkStart w:name="637602747" w:id="1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механические испытания. Производятся в соответствии с инструкциями завода-изготовителя. К механическим испытаниям относятся:</w:t>
      </w:r>
    </w:p>
    <w:bookmarkEnd w:id="1292"/>
    <w:bookmarkStart w:name="637602748" w:id="12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вкатывание и выкатывание выдвижных элементов с проверкой взаимного вхождения разъединяющих контактов, а также работы шторок, блокировок, фиксаторов;</w:t>
      </w:r>
    </w:p>
    <w:bookmarkEnd w:id="1293"/>
    <w:bookmarkStart w:name="637602749" w:id="12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контактного нажатия разъемных контактов первичной цепи;</w:t>
      </w:r>
    </w:p>
    <w:bookmarkEnd w:id="1294"/>
    <w:bookmarkStart w:name="637602750" w:id="1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работы и состояния контактов заземляющего разъединителя.</w:t>
      </w:r>
    </w:p>
    <w:bookmarkEnd w:id="1295"/>
    <w:bookmarkStart w:name="637602751" w:id="1296"/>
    <w:p>
      <w:pPr>
        <w:spacing w:before="120" w:after="120" w:line="240"/>
        <w:ind w:left="0"/>
        <w:jc w:val="center"/>
      </w:pPr>
      <w:r>
        <w:rPr>
          <w:rFonts w:hint="default" w:ascii="Times New Roman" w:hAnsi="Times New Roman"/>
          <w:b/>
          <w:i w:val="false"/>
          <w:color w:val="000000"/>
          <w:sz w:val="24"/>
        </w:rPr>
        <w:t>Параграф 14. Комплектные экранированные токопроводыс воздушным охлаждением и шинопроводы</w:t>
      </w:r>
    </w:p>
    <w:bookmarkEnd w:id="1296"/>
    <w:bookmarkStart w:name="637602752" w:id="12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289. Объем и нормы испытаний оборудования, присоединенного к токопроводу и шинопроводу (генератор, силовые и измерительные трансформаторы), приведены в соответствующих параграфах настоящей главы.</w:t>
      </w:r>
    </w:p>
    <w:bookmarkEnd w:id="1297"/>
    <w:bookmarkStart w:name="637602753" w:id="1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Полностью смонтированные токопроводы испытываются в объеме, предусмотренном настоящим параграфом:</w:t>
      </w:r>
    </w:p>
    <w:bookmarkEnd w:id="1298"/>
    <w:bookmarkStart w:name="637602754" w:id="12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таблице 77 приложения к настоящим Правилам.</w:t>
      </w:r>
    </w:p>
    <w:bookmarkEnd w:id="1299"/>
    <w:bookmarkStart w:name="637602755" w:id="1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Длительность приложения нормированного испытательного напряжения к токопроводу с чисто фарфоровой изоляцией 1 минута. Если изоляция токопровода содержит элементы из твердых органических материалов, продолжительность приложения испытательного напряжения 5 минут;</w:t>
      </w:r>
    </w:p>
    <w:bookmarkEnd w:id="1300"/>
    <w:bookmarkStart w:name="637602756" w:id="1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проверка качества выполнения болтовых и сварных соединений. Выборочно проверяется затяжка болтовых соединений токопровода.</w:t>
      </w:r>
    </w:p>
    <w:bookmarkEnd w:id="1301"/>
    <w:bookmarkStart w:name="637602757" w:id="13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p>
    <w:bookmarkEnd w:id="1302"/>
    <w:bookmarkStart w:name="637602758" w:id="13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bookmarkEnd w:id="1303"/>
    <w:bookmarkStart w:name="637602759" w:id="13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p>
    <w:bookmarkEnd w:id="1304"/>
    <w:bookmarkStart w:name="637602760" w:id="1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осмотр и проверка устройства искусственного охлаждения токопровода производится согласно инструкции завода-изготовителя.</w:t>
      </w:r>
    </w:p>
    <w:bookmarkEnd w:id="1305"/>
    <w:bookmarkStart w:name="637602761" w:id="1306"/>
    <w:p>
      <w:pPr>
        <w:spacing w:before="120" w:after="120" w:line="240"/>
        <w:ind w:left="0"/>
        <w:jc w:val="center"/>
      </w:pPr>
      <w:r>
        <w:rPr>
          <w:rFonts w:hint="default" w:ascii="Times New Roman" w:hAnsi="Times New Roman"/>
          <w:b/>
          <w:i w:val="false"/>
          <w:color w:val="000000"/>
          <w:sz w:val="24"/>
        </w:rPr>
        <w:t>Параграф 15. Сборные и соединительные шины</w:t>
      </w:r>
    </w:p>
    <w:bookmarkEnd w:id="1306"/>
    <w:bookmarkStart w:name="637602762" w:id="1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290. Шины испытываются в объеме, предусмотренном настоящим параграфом на напряжение до 1 кВ – по подпунктам 1), 3)–5) настоящего пункта, на напряжение выше 1 кВ – по подпунктам 2)–6) настоящего пункта:</w:t>
      </w:r>
    </w:p>
    <w:bookmarkEnd w:id="1307"/>
    <w:bookmarkStart w:name="637602763" w:id="1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Производится мегаомметром на напряжение 1 кВ. Сопротивление изоляции должно быть не менее 0,5 МОм;</w:t>
      </w:r>
    </w:p>
    <w:bookmarkEnd w:id="1308"/>
    <w:bookmarkStart w:name="637602764" w:id="1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изоляции повышенным напряжением промышленной частоты:</w:t>
      </w:r>
    </w:p>
    <w:bookmarkEnd w:id="1309"/>
    <w:bookmarkStart w:name="637602765" w:id="13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опорных одноэлементных изоляторов. Керамические одноэлементные опорные изоляторы внутренней и наружной установок испытываются в соответствии с пунктом 299 настоящих Правил;</w:t>
      </w:r>
    </w:p>
    <w:bookmarkEnd w:id="1310"/>
    <w:bookmarkStart w:name="637602766" w:id="1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опорных многоэлементных и подвесных изоляторов. Штыревые и подвесные изоляторы испытываются согласно пункту 299 настоящих Правил;</w:t>
      </w:r>
    </w:p>
    <w:bookmarkEnd w:id="1311"/>
    <w:bookmarkStart w:name="637602767" w:id="1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качества выполнения болтовых контактных соединений шин. Производится выборочная проверка качества затяжки контактов и вскрытие 2 – 3 % соединений. Измерение переходного сопротивления контактных соединений производится выборочно у сборных и соединительных шин на 1000 А и более на 2 – 3 % соединений. 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p>
    <w:bookmarkEnd w:id="1312"/>
    <w:bookmarkStart w:name="637602768" w:id="1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качества выполнения опрессованных контактных соединений шин. Опрессованные контактные соединения бракуются, если:</w:t>
      </w:r>
    </w:p>
    <w:bookmarkEnd w:id="1313"/>
    <w:bookmarkStart w:name="637602769" w:id="13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314"/>
    <w:bookmarkStart w:name="637602770" w:id="13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поверхности соединителя или зажима имеются трещины, следы значительной коррозии и механических повреждений;</w:t>
      </w:r>
    </w:p>
    <w:bookmarkEnd w:id="1315"/>
    <w:bookmarkStart w:name="637602771" w:id="1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кривизна опрессованного соединителя превышает 3 % его длины;</w:t>
      </w:r>
    </w:p>
    <w:bookmarkEnd w:id="1316"/>
    <w:bookmarkStart w:name="637602772" w:id="1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стальной сердечник опрессованного соединителя расположен несимметрично.</w:t>
      </w:r>
    </w:p>
    <w:bookmarkEnd w:id="1317"/>
    <w:bookmarkStart w:name="637602773" w:id="13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Необходимо произвести выборочное измерение переходного сопротивления 3–5 % опрессованных контактных соединений.</w:t>
      </w:r>
    </w:p>
    <w:bookmarkEnd w:id="1318"/>
    <w:bookmarkStart w:name="637602774" w:id="13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bookmarkEnd w:id="1319"/>
    <w:bookmarkStart w:name="637602775" w:id="13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контроль сварных контактных соединений. Сварные контактные соединения бракуются, если непосредственно после выполнения сварки будут обнаружены:</w:t>
      </w:r>
    </w:p>
    <w:bookmarkEnd w:id="1320"/>
    <w:bookmarkStart w:name="637602776" w:id="1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пережог провода наружного навива или нарушение сварки при перегибе соединенных проводов;</w:t>
      </w:r>
    </w:p>
    <w:bookmarkEnd w:id="1321"/>
    <w:bookmarkStart w:name="637602777" w:id="1322"/>
    <w:p>
      <w:pPr>
        <w:spacing w:before="120" w:after="120" w:line="240"/>
        <w:ind w:left="0"/>
        <w:jc w:val="both"/>
      </w:pPr>
      <w:r>
        <w:rPr>
          <w:rFonts w:hint="default" w:ascii="Times New Roman" w:hAnsi="Times New Roman"/>
          <w:b w:val="false"/>
          <w:i w:val="false"/>
          <w:color w:val="000000"/>
          <w:sz w:val="24"/>
        </w:rPr>
        <w:t xml:space="preserve">усадочная раковина в месте сварки глубиной более </w:t>
      </w: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3</w:t>
      </w:r>
      <w:r>
        <w:rPr>
          <w:rFonts w:hint="default" w:ascii="Times New Roman" w:hAnsi="Times New Roman"/>
          <w:b w:val="false"/>
          <w:i w:val="false"/>
          <w:color w:val="000000"/>
          <w:sz w:val="24"/>
        </w:rPr>
        <w:t xml:space="preserve"> диаметра провода.</w:t>
      </w:r>
    </w:p>
    <w:bookmarkEnd w:id="1322"/>
    <w:bookmarkStart w:name="637602778" w:id="1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испытание проходных изоляторов производится в соответствии с пункта 298 настоящих Правил.</w:t>
      </w:r>
    </w:p>
    <w:bookmarkEnd w:id="1323"/>
    <w:bookmarkStart w:name="637602779" w:id="1324"/>
    <w:p>
      <w:pPr>
        <w:spacing w:before="120" w:after="120" w:line="240"/>
        <w:ind w:left="0"/>
        <w:jc w:val="center"/>
      </w:pPr>
      <w:r>
        <w:rPr>
          <w:rFonts w:hint="default" w:ascii="Times New Roman" w:hAnsi="Times New Roman"/>
          <w:b/>
          <w:i w:val="false"/>
          <w:color w:val="000000"/>
          <w:sz w:val="24"/>
        </w:rPr>
        <w:t>Параграф 16. Сухие токоограничивающие реакторы</w:t>
      </w:r>
    </w:p>
    <w:bookmarkEnd w:id="1324"/>
    <w:bookmarkStart w:name="637602780" w:id="1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291. Сухие токоограничивающие реакторы должны быть испытаны в объеме, предусмотренном настоящим параграфом:</w:t>
      </w:r>
    </w:p>
    <w:bookmarkEnd w:id="1325"/>
    <w:bookmarkStart w:name="637602781" w:id="1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p>
    <w:bookmarkEnd w:id="1326"/>
    <w:bookmarkStart w:name="637602782" w:id="1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таблице 78 приложения к настоящим Правилам.</w:t>
      </w:r>
    </w:p>
    <w:bookmarkEnd w:id="1327"/>
    <w:bookmarkStart w:name="637602783" w:id="1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1 минута.</w:t>
      </w:r>
    </w:p>
    <w:bookmarkEnd w:id="1328"/>
    <w:bookmarkStart w:name="637602784" w:id="13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опорной изоляции сухих реакторов повышенным напряжением промышленной частоты производится совместно с изоляторами ошиновки ячейки.</w:t>
      </w:r>
    </w:p>
    <w:bookmarkEnd w:id="1329"/>
    <w:bookmarkStart w:name="637602785" w:id="1330"/>
    <w:p>
      <w:pPr>
        <w:spacing w:before="120" w:after="120" w:line="240"/>
        <w:ind w:left="0"/>
        <w:jc w:val="center"/>
      </w:pPr>
      <w:r>
        <w:rPr>
          <w:rFonts w:hint="default" w:ascii="Times New Roman" w:hAnsi="Times New Roman"/>
          <w:b/>
          <w:i w:val="false"/>
          <w:color w:val="000000"/>
          <w:sz w:val="24"/>
        </w:rPr>
        <w:t>Параграф 17. Электрофильтры</w:t>
      </w:r>
    </w:p>
    <w:bookmarkEnd w:id="1330"/>
    <w:bookmarkStart w:name="637602786" w:id="13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292. Электрофильтры должны быть испытаны в объеме, предусмотренном настоящим параграфом:</w:t>
      </w:r>
    </w:p>
    <w:bookmarkEnd w:id="1331"/>
    <w:bookmarkStart w:name="637602787" w:id="13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обмоток трансформатора агрегата питания. Производится мегаомметром на напряжение 1000–2500 В.</w:t>
      </w:r>
    </w:p>
    <w:bookmarkEnd w:id="1332"/>
    <w:bookmarkStart w:name="637602788" w:id="13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обмоток напряжением 380 (220) В вместе с подсоединенными к ним цепями должно быть не менее 1 МОм.</w:t>
      </w:r>
    </w:p>
    <w:bookmarkEnd w:id="1333"/>
    <w:bookmarkStart w:name="637602789" w:id="1334"/>
    <w:p>
      <w:pPr>
        <w:spacing w:before="120" w:after="120" w:line="240"/>
        <w:ind w:left="0"/>
        <w:jc w:val="both"/>
      </w:pPr>
      <w:r>
        <w:rPr>
          <w:rFonts w:hint="default" w:ascii="Times New Roman" w:hAnsi="Times New Roman"/>
          <w:b w:val="false"/>
          <w:i w:val="false"/>
          <w:color w:val="000000"/>
          <w:sz w:val="24"/>
        </w:rPr>
        <w:t>Сопротивление изоляции обмоток высокого напряжения не должно быть ниже 50 МОм при температуре 25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или не должно быть менее 70 % значения, указанного в паспорте агрегата;</w:t>
      </w:r>
    </w:p>
    <w:bookmarkEnd w:id="1334"/>
    <w:bookmarkStart w:name="637602790" w:id="1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изоляции цепей 380 (220) В агрегата питания.</w:t>
      </w:r>
    </w:p>
    <w:bookmarkEnd w:id="1335"/>
    <w:bookmarkStart w:name="637602791" w:id="1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Производится напряжением 2 кВ частотой 50 Гц в течение 1 минуты;</w:t>
      </w:r>
    </w:p>
    <w:bookmarkEnd w:id="1336"/>
    <w:bookmarkStart w:name="637602792" w:id="1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изоляции кабеля высокого напряжения. Сопротивление изоляции, измеренное мегаомметром на напряжение 2500 В, не должно быть менее 10 МОм;</w:t>
      </w:r>
    </w:p>
    <w:bookmarkEnd w:id="1337"/>
    <w:bookmarkStart w:name="637602793" w:id="1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изоляции кабеля высокого напряжения и концевых кабельных муфт. Производится напряжением 75 кВ постоянного тока в течение 30 минут;</w:t>
      </w:r>
    </w:p>
    <w:bookmarkEnd w:id="1338"/>
    <w:bookmarkStart w:name="637602794" w:id="1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испытание трансформаторного масла. Предельно допустимые значения пробивного напряжения масла: до заливки – 40 кВ, после – 35 кВ.</w:t>
      </w:r>
    </w:p>
    <w:bookmarkEnd w:id="1339"/>
    <w:bookmarkStart w:name="637602795" w:id="1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масле не должно содержаться следов воды;</w:t>
      </w:r>
    </w:p>
    <w:bookmarkEnd w:id="1340"/>
    <w:bookmarkStart w:name="637602796" w:id="1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исправности заземления элементов оборудования. Производится проверка надежности крепления заземлительных шин к заземлителям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bookmarkEnd w:id="1341"/>
    <w:bookmarkStart w:name="637602797" w:id="1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проверка сопротивления заземляющих устройств. Сопротивление заземлителя не должно превышать 4 Ом, а переходное сопротивление заземляющих устройств (между контуром заземления и деталью оборудования, подлежащей заземлению) – 0,05 Ом;</w:t>
      </w:r>
    </w:p>
    <w:bookmarkEnd w:id="1342"/>
    <w:bookmarkStart w:name="637602798" w:id="1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снятие вольт-амперных характеристик. 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таблицы 79 приложения к настоящим Правилам.</w:t>
      </w:r>
    </w:p>
    <w:bookmarkEnd w:id="1343"/>
    <w:bookmarkStart w:name="637602799" w:id="1344"/>
    <w:p>
      <w:pPr>
        <w:spacing w:before="120" w:after="120" w:line="240"/>
        <w:ind w:left="0"/>
        <w:jc w:val="center"/>
      </w:pPr>
      <w:r>
        <w:rPr>
          <w:rFonts w:hint="default" w:ascii="Times New Roman" w:hAnsi="Times New Roman"/>
          <w:b/>
          <w:i w:val="false"/>
          <w:color w:val="000000"/>
          <w:sz w:val="24"/>
        </w:rPr>
        <w:t>Параграф 18. Статические преобразователи для промышленных целей</w:t>
      </w:r>
    </w:p>
    <w:bookmarkEnd w:id="1344"/>
    <w:bookmarkStart w:name="637602800" w:id="1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293. Комплектные статические преобразователи испытываются в объеме, предусмотренном настоящим параграфом: ионные нереверсивные – по подпунктам 1)–8), 10), 11) пункта 293 настоящих Правил, ионные реверсивные – по подпунктам 1)–11), полупроводниковые управляемые нереверсивные – по подпунктам 1)–4), 6)–8), 10), 11) настоящего пункта, полупроводниковые управляемые реверсивные – по подпунктам 1)–4), 6)–11) настоящего пункта, полупроводниковые неуправляемые – по подпунктам 1)–4), 7), 10), 11) настоящего пункта.</w:t>
      </w:r>
    </w:p>
    <w:bookmarkEnd w:id="1345"/>
    <w:bookmarkStart w:name="637602801" w:id="1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Настоящий параграф не распространяется на тиристорные возбудители синхронных генераторов и компенсаторов:</w:t>
      </w:r>
    </w:p>
    <w:bookmarkEnd w:id="1346"/>
    <w:bookmarkStart w:name="637602802" w:id="1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элементов и цепей преобразователя. Производится в соответствии с инструкцией завода-изготовителя;</w:t>
      </w:r>
    </w:p>
    <w:bookmarkEnd w:id="1347"/>
    <w:bookmarkStart w:name="637602803" w:id="1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348"/>
    <w:bookmarkStart w:name="637602804" w:id="1349"/>
    <w:p>
      <w:pPr>
        <w:spacing w:before="120" w:after="120" w:line="240"/>
        <w:ind w:left="0"/>
        <w:jc w:val="both"/>
      </w:pPr>
      <w:r>
        <w:rPr>
          <w:rFonts w:hint="default" w:ascii="Times New Roman" w:hAnsi="Times New Roman"/>
          <w:b w:val="false"/>
          <w:i w:val="false"/>
          <w:color w:val="000000"/>
          <w:sz w:val="24"/>
        </w:rPr>
        <w:t>изоляция узлов и цепей ионного преобразователя и преобразовательного трансформатора должна выдержать в течение 1 минута испытательное напряжение промышленной частоты. Значения испытательного напряжения приведены в таблице 80, где U</w:t>
      </w:r>
      <w:r>
        <w:rPr>
          <w:rFonts w:hint="default" w:ascii="Times New Roman" w:hAnsi="Times New Roman"/>
          <w:b w:val="false"/>
          <w:i w:val="false"/>
          <w:color w:val="000000"/>
          <w:vertAlign w:val="subscript"/>
        </w:rPr>
        <w:t>d</w:t>
      </w:r>
      <w:r>
        <w:rPr>
          <w:rFonts w:hint="default" w:ascii="Times New Roman" w:hAnsi="Times New Roman"/>
          <w:b w:val="false"/>
          <w:i w:val="false"/>
          <w:color w:val="000000"/>
          <w:sz w:val="24"/>
        </w:rPr>
        <w:t xml:space="preserve"> – напряжение холостого хода преобразовательного агрегата.</w:t>
      </w:r>
    </w:p>
    <w:bookmarkEnd w:id="1349"/>
    <w:bookmarkStart w:name="637602805" w:id="13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Испытательные напряжения между катодом и корпусом вентиля относятся к преобразователям с изолированным катодом.</w:t>
      </w:r>
    </w:p>
    <w:bookmarkEnd w:id="1350"/>
    <w:bookmarkStart w:name="637602806" w:id="1351"/>
    <w:p>
      <w:pPr>
        <w:spacing w:before="120" w:after="120" w:line="240"/>
        <w:ind w:left="0"/>
        <w:jc w:val="both"/>
      </w:pPr>
      <w:r>
        <w:rPr>
          <w:rFonts w:hint="default" w:ascii="Times New Roman" w:hAnsi="Times New Roman"/>
          <w:b w:val="false"/>
          <w:i w:val="false"/>
          <w:color w:val="000000"/>
          <w:sz w:val="24"/>
        </w:rPr>
        <w:t>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U</w:t>
      </w:r>
      <w:r>
        <w:rPr>
          <w:rFonts w:hint="default" w:ascii="Times New Roman" w:hAnsi="Times New Roman"/>
          <w:b w:val="false"/>
          <w:i w:val="false"/>
          <w:color w:val="000000"/>
          <w:vertAlign w:val="subscript"/>
        </w:rPr>
        <w:t>d</w:t>
      </w:r>
      <w:r>
        <w:rPr>
          <w:rFonts w:hint="default" w:ascii="Times New Roman" w:hAnsi="Times New Roman"/>
          <w:b w:val="false"/>
          <w:i w:val="false"/>
          <w:color w:val="000000"/>
          <w:sz w:val="24"/>
        </w:rPr>
        <w:t xml:space="preserve"> + 3500;</w:t>
      </w:r>
    </w:p>
    <w:bookmarkEnd w:id="1351"/>
    <w:bookmarkStart w:name="637602807" w:id="1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узлов и цепей полупроводникового преобразователя (силовые цепи – корпус и силовые цепи – цепи собственных нужд) должна выдержать в течение 1 минуты испытательное напряжение промышленной частоты, равное 1,8 кВ или указанное заводом-изготовителем.</w:t>
      </w:r>
    </w:p>
    <w:bookmarkEnd w:id="1352"/>
    <w:bookmarkStart w:name="637602808" w:id="13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Силовые цепи переменного и выпрямленного напряжения на время испытания должны быть электрически соединены между собой;</w:t>
      </w:r>
    </w:p>
    <w:bookmarkEnd w:id="1353"/>
    <w:bookmarkStart w:name="637602809" w:id="1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всех видов защит преобразователя. Пределы срабатывания защит должны соответствовать расчетным проектным данным;</w:t>
      </w:r>
    </w:p>
    <w:bookmarkEnd w:id="1354"/>
    <w:bookmarkStart w:name="637602810" w:id="1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преобразовательного трансформатора и реакторов производится в соответствии с пунктом 280 настоящих Правил;</w:t>
      </w:r>
    </w:p>
    <w:bookmarkEnd w:id="1355"/>
    <w:bookmarkStart w:name="637602811" w:id="1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зажигания. Зажигание должно происходить четко, без длительной пульсации системы зажигания;</w:t>
      </w:r>
    </w:p>
    <w:bookmarkEnd w:id="1356"/>
    <w:bookmarkStart w:name="637602812" w:id="1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фазировки. Фаза импульсов управления должна соответствовать фазе анодного напряжения в диапазоне регулирования;</w:t>
      </w:r>
    </w:p>
    <w:bookmarkEnd w:id="1357"/>
    <w:bookmarkStart w:name="637602813" w:id="1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p>
    <w:bookmarkEnd w:id="1358"/>
    <w:bookmarkStart w:name="637602814" w:id="1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p>
    <w:bookmarkEnd w:id="1359"/>
    <w:bookmarkStart w:name="637602815" w:id="1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p>
    <w:bookmarkEnd w:id="1360"/>
    <w:bookmarkStart w:name="637602816" w:id="1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Измерение статического уравнительного тока. Измерение производится во всем диапазоне регулирования. Уравнительный ток не должен превосходить предусмотренного проектом;</w:t>
      </w:r>
    </w:p>
    <w:bookmarkEnd w:id="1361"/>
    <w:bookmarkStart w:name="637602817" w:id="1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p>
    <w:bookmarkEnd w:id="1362"/>
    <w:bookmarkStart w:name="637602818" w:id="1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p>
    <w:bookmarkEnd w:id="1363"/>
    <w:bookmarkStart w:name="637602819" w:id="1364"/>
    <w:p>
      <w:pPr>
        <w:spacing w:before="120" w:after="120" w:line="240"/>
        <w:ind w:left="0"/>
        <w:jc w:val="center"/>
      </w:pPr>
      <w:r>
        <w:rPr>
          <w:rFonts w:hint="default" w:ascii="Times New Roman" w:hAnsi="Times New Roman"/>
          <w:b/>
          <w:i w:val="false"/>
          <w:color w:val="000000"/>
          <w:sz w:val="24"/>
        </w:rPr>
        <w:t>Параграф 19. Бумажно-масляные конденсаторы</w:t>
      </w:r>
    </w:p>
    <w:bookmarkEnd w:id="1364"/>
    <w:bookmarkStart w:name="637602820" w:id="1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294.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параграфом; конденсаторы для повышения коэффициента мощности напряжением ниже 1 кВ – по подпунктам 1), 4), 5) настоящего пункта, конденсаторы для повышения коэффициента мощности напряжением 1 кВ и выше – по подпунктам 1), 2), 4), 5) настоящего пункта, конденсаторы связи, отбора мощности и делительные конденсаторы – по подпунктам 1)–4) настоящего пункта:</w:t>
      </w:r>
    </w:p>
    <w:bookmarkEnd w:id="1365"/>
    <w:bookmarkStart w:name="637602821" w:id="1366"/>
    <w:p>
      <w:pPr>
        <w:spacing w:before="120" w:after="120" w:line="240"/>
        <w:ind w:left="0"/>
        <w:jc w:val="both"/>
      </w:pPr>
      <w:r>
        <w:rPr>
          <w:rFonts w:hint="default" w:ascii="Times New Roman" w:hAnsi="Times New Roman"/>
          <w:b w:val="false"/>
          <w:i w:val="false"/>
          <w:color w:val="000000"/>
          <w:sz w:val="24"/>
        </w:rPr>
        <w:t>1) измерение сопротивления изоляции. Производится мегаомметром на напряжение 2,5 кВ. Сопротивление изоляции между выводами и относительно корпуса конденсатора и отношение R</w:t>
      </w:r>
      <w:r>
        <w:rPr>
          <w:rFonts w:hint="default" w:ascii="Times New Roman" w:hAnsi="Times New Roman"/>
          <w:b w:val="false"/>
          <w:i w:val="false"/>
          <w:color w:val="000000"/>
          <w:vertAlign w:val="subscript"/>
        </w:rPr>
        <w:t>60</w:t>
      </w:r>
      <w:r>
        <w:rPr>
          <w:rFonts w:hint="default" w:ascii="Times New Roman" w:hAnsi="Times New Roman"/>
          <w:b w:val="false"/>
          <w:i w:val="false"/>
          <w:color w:val="000000"/>
          <w:sz w:val="24"/>
        </w:rPr>
        <w:t xml:space="preserve"> /R</w:t>
      </w:r>
      <w:r>
        <w:rPr>
          <w:rFonts w:hint="default" w:ascii="Times New Roman" w:hAnsi="Times New Roman"/>
          <w:b w:val="false"/>
          <w:i w:val="false"/>
          <w:color w:val="000000"/>
          <w:vertAlign w:val="subscript"/>
        </w:rPr>
        <w:t>15</w:t>
      </w:r>
      <w:r>
        <w:rPr>
          <w:rFonts w:hint="default" w:ascii="Times New Roman" w:hAnsi="Times New Roman"/>
          <w:b w:val="false"/>
          <w:i w:val="false"/>
          <w:color w:val="000000"/>
          <w:sz w:val="24"/>
        </w:rPr>
        <w:t xml:space="preserve"> не нормируются;</w:t>
      </w:r>
    </w:p>
    <w:bookmarkEnd w:id="1366"/>
    <w:bookmarkStart w:name="637602822" w:id="1367"/>
    <w:p>
      <w:pPr>
        <w:spacing w:before="120" w:after="120" w:line="240"/>
        <w:ind w:left="0"/>
        <w:jc w:val="both"/>
      </w:pPr>
      <w:r>
        <w:rPr>
          <w:rFonts w:hint="default" w:ascii="Times New Roman" w:hAnsi="Times New Roman"/>
          <w:b w:val="false"/>
          <w:i w:val="false"/>
          <w:color w:val="000000"/>
          <w:sz w:val="24"/>
        </w:rPr>
        <w:t>2) измерение емкости. Производится при температуре 15–35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Измеренная емкость должна соответствовать паспортным данным с учетом погрешности измерения и приведенных допусков в таблице 81 приложения к настоящим Правилам;</w:t>
      </w:r>
    </w:p>
    <w:bookmarkEnd w:id="1367"/>
    <w:bookmarkStart w:name="637602823" w:id="1368"/>
    <w:p>
      <w:pPr>
        <w:spacing w:before="120" w:after="120" w:line="240"/>
        <w:ind w:left="0"/>
        <w:jc w:val="both"/>
      </w:pPr>
      <w:r>
        <w:rPr>
          <w:rFonts w:hint="default" w:ascii="Times New Roman" w:hAnsi="Times New Roman"/>
          <w:b w:val="false"/>
          <w:i w:val="false"/>
          <w:color w:val="000000"/>
          <w:sz w:val="24"/>
        </w:rPr>
        <w:t>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15–35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не должны превышать 0,4 %;</w:t>
      </w:r>
    </w:p>
    <w:bookmarkEnd w:id="1368"/>
    <w:bookmarkStart w:name="637602824" w:id="13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повышенным напряжением. Испытательные напряжения конденсаторов для повышения коэффициента мощности приведены в таблице 82; для конденсаторов связи, конденсаторов отбора мощности и делительных конденсаторов – в таблице 83 приложения к настоящим Правилам и конденсаторов продольной компенсации – в таблице 84 приложения настоящим Правилам.</w:t>
      </w:r>
    </w:p>
    <w:bookmarkEnd w:id="1369"/>
    <w:bookmarkStart w:name="637602825" w:id="1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испытательного напряжения 1 мин.</w:t>
      </w:r>
    </w:p>
    <w:bookmarkEnd w:id="1370"/>
    <w:bookmarkStart w:name="637602826" w:id="13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источника тока достаточной мощности испытания повышенным напряжением промышленной частоты заменяются испытанием выпрямленным напряжением удвоенного значения по отношению к указанному в таблицах 82–84 приложения к настоящим Правилам.</w:t>
      </w:r>
    </w:p>
    <w:bookmarkEnd w:id="1371"/>
    <w:bookmarkStart w:name="637602827" w:id="13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p>
    <w:bookmarkEnd w:id="1372"/>
    <w:bookmarkStart w:name="637602828" w:id="1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испытание батареи конденсаторов трехкратным 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bookmarkEnd w:id="1373"/>
    <w:bookmarkStart w:name="637602829" w:id="1374"/>
    <w:p>
      <w:pPr>
        <w:spacing w:before="120" w:after="120" w:line="240"/>
        <w:ind w:left="0"/>
        <w:jc w:val="center"/>
      </w:pPr>
      <w:r>
        <w:rPr>
          <w:rFonts w:hint="default" w:ascii="Times New Roman" w:hAnsi="Times New Roman"/>
          <w:b/>
          <w:i w:val="false"/>
          <w:color w:val="000000"/>
          <w:sz w:val="24"/>
        </w:rPr>
        <w:t>Параграф 20. Вентильные разрядники и ограничители перенапряжений</w:t>
      </w:r>
    </w:p>
    <w:bookmarkEnd w:id="1374"/>
    <w:bookmarkStart w:name="637602830" w:id="1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295. Вентильные разрядники и ограничители перенапряжений после установки на месте монтажа испытываются в объеме, предусмотренном настоящим параграфом:</w:t>
      </w:r>
    </w:p>
    <w:bookmarkEnd w:id="1375"/>
    <w:bookmarkStart w:name="637602831" w:id="1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элемента разрядника. Производится мегаомметром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p>
    <w:bookmarkEnd w:id="1376"/>
    <w:bookmarkStart w:name="637602832" w:id="1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разрядников РВН, РВП, РВО, GZ, должно быть не менее 1000 МОм.</w:t>
      </w:r>
    </w:p>
    <w:bookmarkEnd w:id="1377"/>
    <w:bookmarkStart w:name="637602833" w:id="1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элементов разрядников РВС должно соответствовать требованиям заводской инструкции. Сопротивление элементов разрядников РВМ, РВРД, РВМГ, РВМК должно соответствовать значениям, указанным в таблице 85 приложения к настоящим Правилам.</w:t>
      </w:r>
    </w:p>
    <w:bookmarkEnd w:id="1378"/>
    <w:bookmarkStart w:name="637602834" w:id="13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имитатора пропускной способности измеряется мегаомметром на напряжение 1000 В. Значение измеренного сопротивления не должно отличаться более чем на 50 % от результатов заводских измерений или предыдущих измерений в эксплуатации.</w:t>
      </w:r>
    </w:p>
    <w:bookmarkEnd w:id="1379"/>
    <w:bookmarkStart w:name="637602835" w:id="13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изолирующих оснований разрядников с регистраторами срабатывания измеряется мегаомметром на напряжение 1000 — 2500 В. Значение измеренного сопротивления изоляции должно быть не менее 1 МОм.</w:t>
      </w:r>
    </w:p>
    <w:bookmarkEnd w:id="1380"/>
    <w:bookmarkStart w:name="637602836" w:id="1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ограничителей перенапряжений с номинальным напряжением до 3 кВ должно быть не менее 1000 МОм.</w:t>
      </w:r>
    </w:p>
    <w:bookmarkEnd w:id="1381"/>
    <w:bookmarkStart w:name="637602837" w:id="1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ограничителей перенапряжений с номинальным напряжением 3–35 кВ должно соответствовать требованиям инструкций заводов-изготовителей.</w:t>
      </w:r>
    </w:p>
    <w:bookmarkEnd w:id="1382"/>
    <w:bookmarkStart w:name="637602838" w:id="13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ограничителей перенапряжений с номинальным напряжением 110 кВ и выше должно быть не менее 3000 МОм и не должно отличаться более чем на ± 30 % от данных, приведенных в паспорте или полученных в результате предыдущих измерений в эксплуатации;</w:t>
      </w:r>
    </w:p>
    <w:bookmarkEnd w:id="1383"/>
    <w:bookmarkStart w:name="637602839" w:id="1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тока проводимости (тока утечки) вентильных разрядников при выпрямленном напряжении. Допустимые токи проводимости (токи утечки) отдельных элементов вентильных разрядников приведены в таблице 86 приложения к настоящим Правилам;</w:t>
      </w:r>
    </w:p>
    <w:bookmarkEnd w:id="1384"/>
    <w:bookmarkStart w:name="637602840" w:id="1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тока проводимости ограничителей перенапряжения. Допустимые токи проводимости ограничителей перенапряжений приведены в таблице 87 приложения к настоящим Правилам;</w:t>
      </w:r>
    </w:p>
    <w:bookmarkEnd w:id="1385"/>
    <w:bookmarkStart w:name="637602841" w:id="13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элементов, входящих в комплект приспособления для измерения тока проводимости ограничителя перенапряжений под рабочим напряжением. Производится на отключенном от сети ограничителе перенапряжений.</w:t>
      </w:r>
    </w:p>
    <w:bookmarkEnd w:id="1386"/>
    <w:bookmarkStart w:name="637602842" w:id="13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электрической прочности изолированного вывода производится для ограничителей ОПН-330 и 500 кВ перед вводом в эксплуатацию и при выводе в ремонт оборудования, к которому подключен ограничитель, но не реже 1 раза в 6 лет.</w:t>
      </w:r>
    </w:p>
    <w:bookmarkEnd w:id="1387"/>
    <w:bookmarkStart w:name="637602843" w:id="1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производится при плавном подъеме напряжения частоты 50 Гц до 10 кВ без выдержки времени.</w:t>
      </w:r>
    </w:p>
    <w:bookmarkEnd w:id="1388"/>
    <w:bookmarkStart w:name="637602844" w:id="1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электрической прочности изолятора ОФР-10-750 производится напряжением 24 кВ частоты 50 Гц в течение 1 минута.</w:t>
      </w:r>
    </w:p>
    <w:bookmarkEnd w:id="1389"/>
    <w:bookmarkStart w:name="637602845" w:id="1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тока проводимости защитного резистора производится при напряжении 0,75 кВ частоты 50 Гц. Значение тока должно находиться в пределах 1,8–4,0 мА;</w:t>
      </w:r>
    </w:p>
    <w:bookmarkEnd w:id="1390"/>
    <w:bookmarkStart w:name="637602846" w:id="1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таблице 88 приложения к настоящим Правилам.</w:t>
      </w:r>
    </w:p>
    <w:bookmarkEnd w:id="1391"/>
    <w:bookmarkStart w:name="637602847" w:id="1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сек.</w:t>
      </w:r>
    </w:p>
    <w:bookmarkEnd w:id="1392"/>
    <w:bookmarkStart w:name="637602848" w:id="1393"/>
    <w:p>
      <w:pPr>
        <w:spacing w:before="120" w:after="120" w:line="240"/>
        <w:ind w:left="0"/>
        <w:jc w:val="center"/>
      </w:pPr>
      <w:r>
        <w:rPr>
          <w:rFonts w:hint="default" w:ascii="Times New Roman" w:hAnsi="Times New Roman"/>
          <w:b/>
          <w:i w:val="false"/>
          <w:color w:val="000000"/>
          <w:sz w:val="24"/>
        </w:rPr>
        <w:t>Параграф 21. Трубчатые разрядники</w:t>
      </w:r>
    </w:p>
    <w:bookmarkEnd w:id="1393"/>
    <w:bookmarkStart w:name="637602849" w:id="1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296. Трубчатые разрядники испытываются в объеме, предусмотренном настоящим параграфом:</w:t>
      </w:r>
    </w:p>
    <w:bookmarkEnd w:id="1394"/>
    <w:bookmarkStart w:name="637602850" w:id="13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p>
    <w:bookmarkEnd w:id="1395"/>
    <w:bookmarkStart w:name="637602851" w:id="1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внешнего искрового промежутка производится на опоре установки разрядника. Искровой промежуток не должен отличаться от заданного;</w:t>
      </w:r>
    </w:p>
    <w:bookmarkEnd w:id="1396"/>
    <w:bookmarkStart w:name="637602852" w:id="13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p>
    <w:bookmarkEnd w:id="1397"/>
    <w:bookmarkStart w:name="637602853" w:id="1398"/>
    <w:p>
      <w:pPr>
        <w:spacing w:before="120" w:after="120" w:line="240"/>
        <w:ind w:left="0"/>
        <w:jc w:val="center"/>
      </w:pPr>
      <w:r>
        <w:rPr>
          <w:rFonts w:hint="default" w:ascii="Times New Roman" w:hAnsi="Times New Roman"/>
          <w:b/>
          <w:i w:val="false"/>
          <w:color w:val="000000"/>
          <w:sz w:val="24"/>
        </w:rPr>
        <w:t>Параграф 22. Предохранители, предохранители-разъединители напряжением выше 1 кВ</w:t>
      </w:r>
    </w:p>
    <w:bookmarkEnd w:id="1398"/>
    <w:bookmarkStart w:name="637602854" w:id="1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297. Предохранители, предохранители-разъединители выше 1 кВ испытываются в объеме, предусмотренном настоящим параграфом:</w:t>
      </w:r>
    </w:p>
    <w:bookmarkEnd w:id="1399"/>
    <w:bookmarkStart w:name="637602855" w:id="1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испытание опорной изоляции предохранителей повышенным напряжением промышленной частоты. Испытательное напряжение устанавливается согласно таблице 78 приложения к настоящим Правилам.</w:t>
      </w:r>
    </w:p>
    <w:bookmarkEnd w:id="1400"/>
    <w:bookmarkStart w:name="637602856" w:id="1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производится совместно с испытанием изоляторов ошиновки ячейки;</w:t>
      </w:r>
    </w:p>
    <w:bookmarkEnd w:id="1401"/>
    <w:bookmarkStart w:name="637602857" w:id="14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проверка целостности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целостность плавкой вставки;</w:t>
      </w:r>
    </w:p>
    <w:bookmarkEnd w:id="1402"/>
    <w:bookmarkStart w:name="637602858" w:id="1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постоянному току токоведущей части патрона предохранителя-разъединителя. Измеренное значение сопротивления должно соответствовать значению номинального тока в калибровке на патроне;</w:t>
      </w:r>
    </w:p>
    <w:bookmarkEnd w:id="1403"/>
    <w:bookmarkStart w:name="637602859" w:id="1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измерение контактного нажатия в разъемных контактах предохранителя-разъединителя. Измеренное значение контактного нажатия должно соответствовать заводским данным;</w:t>
      </w:r>
    </w:p>
    <w:bookmarkEnd w:id="1404"/>
    <w:bookmarkStart w:name="637602860" w:id="1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состояния дугогасительной части патрона предохранителя-разъединителя. Измеряется внутренний диаметр дугогасительной части патрона предохранителя-разъединителя.</w:t>
      </w:r>
    </w:p>
    <w:bookmarkEnd w:id="1405"/>
    <w:bookmarkStart w:name="637602861" w:id="1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Измеренное значение диаметра внутренней дугогасительной части патрона должно соответствовать заводским данным;</w:t>
      </w:r>
    </w:p>
    <w:bookmarkEnd w:id="1406"/>
    <w:bookmarkStart w:name="637602862" w:id="1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работы предохранителя-разъединителя. Выполняется 5 циклов операций включения и отключения предохранителя-разъединителя.</w:t>
      </w:r>
    </w:p>
    <w:bookmarkEnd w:id="1407"/>
    <w:bookmarkStart w:name="637602863" w:id="1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Выполнение каждой операции должно быть успешным с одной попытки.</w:t>
      </w:r>
    </w:p>
    <w:bookmarkEnd w:id="1408"/>
    <w:bookmarkStart w:name="637602864" w:id="1409"/>
    <w:p>
      <w:pPr>
        <w:spacing w:before="120" w:after="120" w:line="240"/>
        <w:ind w:left="0"/>
        <w:jc w:val="center"/>
      </w:pPr>
      <w:r>
        <w:rPr>
          <w:rFonts w:hint="default" w:ascii="Times New Roman" w:hAnsi="Times New Roman"/>
          <w:b/>
          <w:i w:val="false"/>
          <w:color w:val="000000"/>
          <w:sz w:val="24"/>
        </w:rPr>
        <w:t>Параграф 23. Вводы и проходные изоляторы</w:t>
      </w:r>
    </w:p>
    <w:bookmarkEnd w:id="1409"/>
    <w:bookmarkStart w:name="637602865" w:id="1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298. Вводы и проходные изоляторы испытываются в объеме, предусмотренном настоящим параграфом:</w:t>
      </w:r>
    </w:p>
    <w:bookmarkEnd w:id="1410"/>
    <w:bookmarkStart w:name="637602866" w:id="1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bookmarkEnd w:id="1411"/>
    <w:bookmarkStart w:name="637602867" w:id="14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таблице 89 приложения к настоящим Правилам.</w:t>
      </w:r>
    </w:p>
    <w:bookmarkEnd w:id="1412"/>
    <w:bookmarkStart w:name="637602868" w:id="14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 основной изоляции и изоляции измерительного конденсатора. Одновременно производится и измерение емкости.</w:t>
      </w:r>
    </w:p>
    <w:bookmarkEnd w:id="1413"/>
    <w:bookmarkStart w:name="637602869" w:id="1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Браковочные нормы по тангенсу угла диэлектрических потерь для изоляции измерительного конденсатора те же, что и для основной изоляции.</w:t>
      </w:r>
    </w:p>
    <w:bookmarkEnd w:id="1414"/>
    <w:bookmarkStart w:name="637602870" w:id="1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вводов, имеющих измерительный вывод от обкладки последних слоев изоляции (для измерения угла диэлектрических потерь), измеряется тангенс угла диэлектрических потерь этой изоляции.</w:t>
      </w:r>
    </w:p>
    <w:bookmarkEnd w:id="1415"/>
    <w:bookmarkStart w:name="637602871" w:id="1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Измерение тангенса угла диэлектрических потерь производится при напряжении 3 кВ.</w:t>
      </w:r>
    </w:p>
    <w:bookmarkEnd w:id="1416"/>
    <w:bookmarkStart w:name="637602872" w:id="14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оценки состояния последних слоев бумажно-масляной изоляции вводов и проходных изоляторов необходимо ориентироваться на средние опытные значения тангенса угла диэлектрических потерь: для вводов 110–115 кВ – 3 %; для вводов 220 кВ – 2 % и для вводов 330–500 кВ – предельные значения тангенса угла диэлектрических потерь, принятые для основной изоляции;</w:t>
      </w:r>
    </w:p>
    <w:bookmarkEnd w:id="1417"/>
    <w:bookmarkStart w:name="637602873" w:id="1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повышенным напряжением промышленной частоты. Испытание является необходимом для вводов и проходных изоляторов на напряжении до 35 кВ.</w:t>
      </w:r>
    </w:p>
    <w:bookmarkEnd w:id="1418"/>
    <w:bookmarkStart w:name="637602874" w:id="1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принимается согласно таблице 90 приложения к настоящим Правилам.</w:t>
      </w:r>
    </w:p>
    <w:bookmarkEnd w:id="1419"/>
    <w:bookmarkStart w:name="637602875" w:id="1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Испытание вводов, установленных на силовых трансформаторах, производится совместно с испытанием обмоток последних по нормам, принятым для силовых трансформаторов.</w:t>
      </w:r>
    </w:p>
    <w:bookmarkEnd w:id="1420"/>
    <w:bookmarkStart w:name="637602876" w:id="14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1 минута, а с основной изоляцией из бакелита или других твердых органических материалов 5 минут. Продолжительность приложения нормированного испытательного напряжения для вводов, испытываемых совместно с обмотками трансформаторов, 1 минута.</w:t>
      </w:r>
    </w:p>
    <w:bookmarkEnd w:id="1421"/>
    <w:bookmarkStart w:name="637602877" w:id="1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bookmarkEnd w:id="1422"/>
    <w:bookmarkStart w:name="637602878" w:id="1423"/>
    <w:p>
      <w:pPr>
        <w:spacing w:before="120" w:after="120" w:line="240"/>
        <w:ind w:left="0"/>
        <w:jc w:val="both"/>
      </w:pPr>
      <w:r>
        <w:rPr>
          <w:rFonts w:hint="default" w:ascii="Times New Roman" w:hAnsi="Times New Roman"/>
          <w:b w:val="false"/>
          <w:i w:val="false"/>
          <w:color w:val="000000"/>
          <w:sz w:val="24"/>
        </w:rPr>
        <w:t>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Продолжительность испытания 30 минут. При испытании не должно наблюдаться признаков течи масла;</w:t>
      </w:r>
    </w:p>
    <w:bookmarkEnd w:id="1423"/>
    <w:bookmarkStart w:name="637602879" w:id="1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испытание трансформаторного масла из маслонаполненных вводов. Для вновь заливаемых вводов масло должно испытываться в соответствии с пунктом 300 настоящих Правил.</w:t>
      </w:r>
    </w:p>
    <w:bookmarkEnd w:id="1424"/>
    <w:bookmarkStart w:name="637602880" w:id="14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После монтажа производится испытание залитого масла по показателям подпунктов 1)–5) таблицы 93 приложения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таблице 93 приложения к настоящим Правилам, а значения тангенса угла диэлектрических потерь – не более приведенных в таблице 91 приложения настоящих Правил.</w:t>
      </w:r>
    </w:p>
    <w:bookmarkEnd w:id="1425"/>
    <w:bookmarkStart w:name="637602881" w:id="1426"/>
    <w:p>
      <w:pPr>
        <w:spacing w:before="120" w:after="120" w:line="240"/>
        <w:ind w:left="0"/>
        <w:jc w:val="center"/>
      </w:pPr>
      <w:r>
        <w:rPr>
          <w:rFonts w:hint="default" w:ascii="Times New Roman" w:hAnsi="Times New Roman"/>
          <w:b/>
          <w:i w:val="false"/>
          <w:color w:val="000000"/>
          <w:sz w:val="24"/>
        </w:rPr>
        <w:t>Параграф 24. Фарфоровые подвесные и опорные изоляторы</w:t>
      </w:r>
    </w:p>
    <w:bookmarkEnd w:id="1426"/>
    <w:bookmarkStart w:name="637602882" w:id="1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299. Фарфоровые подвесные и опорные изоляторы испытываются в объеме, предусмотренном настоящим параграфом.</w:t>
      </w:r>
    </w:p>
    <w:bookmarkEnd w:id="1427"/>
    <w:bookmarkStart w:name="637602883" w:id="1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опорно-стержневых изоляторов испытание повышенным напряжением промышленной частоты не обязательно.</w:t>
      </w:r>
    </w:p>
    <w:bookmarkEnd w:id="1428"/>
    <w:bookmarkStart w:name="637602884" w:id="1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Электрические испытания стеклянных подвесных изоляторов не производятся. Контроль их состояния осуществляется путем внешнего осмотра:</w:t>
      </w:r>
    </w:p>
    <w:bookmarkEnd w:id="1429"/>
    <w:bookmarkStart w:name="637602885" w:id="1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подвесных и многоэлементных изоляторов производится мегаомметром на напряжение 2,5 кВ только при положительных температурах окружающего воздуха. Проверку изоляторов производится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p>
    <w:bookmarkEnd w:id="1430"/>
    <w:bookmarkStart w:name="637602886" w:id="1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w:t>
      </w:r>
    </w:p>
    <w:bookmarkEnd w:id="1431"/>
    <w:bookmarkStart w:name="637602887" w:id="14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опорных одноэлементных изоляторов. Для этих изоляторов внутренней и наружной установок значения испытательного напряжения приводятся в таблице 92 приложения к настоящим Правилам:</w:t>
      </w:r>
    </w:p>
    <w:bookmarkEnd w:id="1432"/>
    <w:bookmarkStart w:name="637602888" w:id="1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1 мин;</w:t>
      </w:r>
    </w:p>
    <w:bookmarkEnd w:id="1433"/>
    <w:bookmarkStart w:name="637602889" w:id="1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опорных многоэлементных и подвесных изоляторов. Вновь устанавливаемые штыревые и подвесные изоляторы испытываются напряжением 50 кВ, прикладываемым к каждому элементу изолятора;</w:t>
      </w:r>
    </w:p>
    <w:bookmarkEnd w:id="1434"/>
    <w:bookmarkStart w:name="637602890" w:id="1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минут, для керамических изоляторов – 1 минута.</w:t>
      </w:r>
    </w:p>
    <w:bookmarkEnd w:id="1435"/>
    <w:bookmarkStart w:name="637602891" w:id="1436"/>
    <w:p>
      <w:pPr>
        <w:spacing w:before="120" w:after="120" w:line="240"/>
        <w:ind w:left="0"/>
        <w:jc w:val="both"/>
      </w:pPr>
      <w:r>
        <w:rPr>
          <w:rFonts w:hint="default" w:ascii="Times New Roman" w:hAnsi="Times New Roman"/>
          <w:b/>
          <w:i w:val="false"/>
          <w:color w:val="000000"/>
          <w:sz w:val="24"/>
        </w:rPr>
        <w:t>25. Трансформаторное масло</w:t>
      </w:r>
    </w:p>
    <w:bookmarkEnd w:id="1436"/>
    <w:bookmarkStart w:name="637602892" w:id="1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300. Трансформаторное масло на месте монтажа оборудования испытывается в объеме, предусмотренном настоящим параграфом:</w:t>
      </w:r>
    </w:p>
    <w:bookmarkEnd w:id="1437"/>
    <w:bookmarkStart w:name="637602893" w:id="14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таблице 93 приложения к настоящим Правилам, кроме пункта 13 таблицы.</w:t>
      </w:r>
    </w:p>
    <w:bookmarkEnd w:id="1438"/>
    <w:bookmarkStart w:name="637602894" w:id="1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показателей, полученные при испытаниях, должны быть не хуже приведенных в таблице 93 приложения к настоящим Правилам.</w:t>
      </w:r>
    </w:p>
    <w:bookmarkEnd w:id="1439"/>
    <w:bookmarkStart w:name="637602895" w:id="1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Масла, изготовленные по техническим условиям, не указанным в таблице 93 приложения к настоящим Правилам, должны подвергаться испытаниям по тем же показателям, но нормы испытаний принимаются в соответствии с техническими условиями на эти масла;</w:t>
      </w:r>
    </w:p>
    <w:bookmarkEnd w:id="1440"/>
    <w:bookmarkStart w:name="637602896" w:id="1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подпунктах 1)–5) и 11 таблицы 93 приложения к настоящим Правилам, а для оборудования 110 кВ и выше, кроме того, по подпункту 10) таблицы 93 приложения, а для оборудования с азотной защитой, по пункту 13 таблицы 93 приложения к настоящим Правилам;</w:t>
      </w:r>
    </w:p>
    <w:bookmarkEnd w:id="1441"/>
    <w:bookmarkStart w:name="637602897" w:id="1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в случае смешения ингибированного и неингибированного масел.</w:t>
      </w:r>
    </w:p>
    <w:bookmarkEnd w:id="1442"/>
    <w:bookmarkStart w:name="637602898" w:id="1443"/>
    <w:p>
      <w:pPr>
        <w:spacing w:before="120" w:after="120" w:line="240"/>
        <w:ind w:left="0"/>
        <w:jc w:val="center"/>
      </w:pPr>
      <w:r>
        <w:rPr>
          <w:rFonts w:hint="default" w:ascii="Times New Roman" w:hAnsi="Times New Roman"/>
          <w:b/>
          <w:i w:val="false"/>
          <w:color w:val="000000"/>
          <w:sz w:val="24"/>
        </w:rPr>
        <w:t>Параграф 26. Электрические аппараты, вторичные цепи и электропроводки напряжением до 1 кВ</w:t>
      </w:r>
    </w:p>
    <w:bookmarkEnd w:id="1443"/>
    <w:bookmarkStart w:name="637602899" w:id="1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301. Электрические аппараты и вторичные цепи схем защиты,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подпункту 1) пункта 301 настоящих Правил:</w:t>
      </w:r>
    </w:p>
    <w:bookmarkEnd w:id="1444"/>
    <w:bookmarkStart w:name="637602900" w:id="1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Сопротивление изоляции должно быть не менее значений, приведенных в таблице 94 приложения к настоящим Правилам;</w:t>
      </w:r>
    </w:p>
    <w:bookmarkEnd w:id="1445"/>
    <w:bookmarkStart w:name="637602901" w:id="1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1 кВ. Продолжительность приложения нормированного испытательного напряжения 1 минута;</w:t>
      </w:r>
    </w:p>
    <w:bookmarkEnd w:id="1446"/>
    <w:bookmarkStart w:name="637602902" w:id="1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действия токовых расцепителей автоматических выключателей. Проверка действия токовых расцепителей (максимальных, зависимых, нулевых, дифференциальных) производится у автоматических выключателей всех типов первичным током. Пределы действия расцепителей должны соответствовать заводским данным;</w:t>
      </w:r>
    </w:p>
    <w:bookmarkEnd w:id="1447"/>
    <w:bookmarkStart w:name="637602903" w:id="1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таблице 95 приложения к настоящим Правилам;</w:t>
      </w:r>
    </w:p>
    <w:bookmarkEnd w:id="1448"/>
    <w:bookmarkStart w:name="637602904" w:id="1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проверка релейной аппаратуры.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bookmarkEnd w:id="1449"/>
    <w:bookmarkStart w:name="637602905" w:id="1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таблице 96 приложения к настоящим Правилам.</w:t>
      </w:r>
    </w:p>
    <w:bookmarkEnd w:id="1450"/>
    <w:bookmarkStart w:name="637602906" w:id="1451"/>
    <w:p>
      <w:pPr>
        <w:spacing w:before="120" w:after="120" w:line="240"/>
        <w:ind w:left="0"/>
        <w:jc w:val="center"/>
      </w:pPr>
      <w:r>
        <w:rPr>
          <w:rFonts w:hint="default" w:ascii="Times New Roman" w:hAnsi="Times New Roman"/>
          <w:b/>
          <w:i w:val="false"/>
          <w:color w:val="000000"/>
          <w:sz w:val="24"/>
        </w:rPr>
        <w:t>Параграф 27. Аккумуляторные батареи</w:t>
      </w:r>
    </w:p>
    <w:bookmarkEnd w:id="1451"/>
    <w:bookmarkStart w:name="637602907" w:id="14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302. Законченная монтажом аккумуляторная батарея испытывается в объеме, предусмотренном настоящим параграфом:</w:t>
      </w:r>
    </w:p>
    <w:bookmarkEnd w:id="1452"/>
    <w:bookmarkStart w:name="637602908" w:id="1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p>
    <w:bookmarkEnd w:id="1453"/>
    <w:bookmarkStart w:name="637602909" w:id="14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полностью снятой нагрузке должно быть измерено напряжение батареи на зажимах и между каждым из зажимов и землей.</w:t>
      </w:r>
    </w:p>
    <w:bookmarkEnd w:id="1454"/>
    <w:bookmarkStart w:name="637602910" w:id="1455"/>
    <w:p>
      <w:pPr>
        <w:spacing w:before="120" w:after="120" w:line="240"/>
        <w:ind w:left="0"/>
        <w:jc w:val="both"/>
      </w:pPr>
      <w:r>
        <w:rPr>
          <w:rFonts w:hint="default" w:ascii="Times New Roman" w:hAnsi="Times New Roman"/>
          <w:b w:val="false"/>
          <w:i w:val="false"/>
          <w:color w:val="000000"/>
          <w:sz w:val="24"/>
        </w:rPr>
        <w:t>Сопротивление изоляции R</w:t>
      </w:r>
      <w:r>
        <w:rPr>
          <w:rFonts w:hint="default" w:ascii="Times New Roman" w:hAnsi="Times New Roman"/>
          <w:b w:val="false"/>
          <w:i w:val="false"/>
          <w:color w:val="000000"/>
          <w:vertAlign w:val="subscript"/>
        </w:rPr>
        <w:t>x</w:t>
      </w:r>
      <w:r>
        <w:rPr>
          <w:rFonts w:hint="default" w:ascii="Times New Roman" w:hAnsi="Times New Roman"/>
          <w:b w:val="false"/>
          <w:i w:val="false"/>
          <w:color w:val="000000"/>
          <w:sz w:val="24"/>
        </w:rPr>
        <w:t xml:space="preserve"> вычисляется по формуле:</w:t>
      </w:r>
    </w:p>
    <w:bookmarkEnd w:id="1455"/>
    <w:bookmarkStart w:name="637602911" w:id="1456"/>
    <w:p>
      <w:pPr>
        <w:spacing w:before="120" w:after="120" w:line="240"/>
        <w:ind w:left="0"/>
        <w:jc w:val="center"/>
      </w:pPr>
      <w:r>
        <w:drawing>
          <wp:inline distT="0" distB="0" distL="0" distR="0">
            <wp:extent cx="2070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070100" cy="647700"/>
                    </a:xfrm>
                    <a:prstGeom prst="rect">
                      <a:avLst/>
                    </a:prstGeom>
                  </pic:spPr>
                </pic:pic>
              </a:graphicData>
            </a:graphic>
          </wp:inline>
        </w:drawing>
      </w:r>
    </w:p>
    <w:bookmarkEnd w:id="1456"/>
    <w:bookmarkStart w:name="637602912" w:id="1457"/>
    <w:p>
      <w:pPr>
        <w:spacing w:before="120" w:after="120" w:line="240"/>
        <w:ind w:left="0"/>
        <w:jc w:val="both"/>
      </w:pPr>
      <w:r>
        <w:rPr>
          <w:rFonts w:hint="default" w:ascii="Times New Roman" w:hAnsi="Times New Roman"/>
          <w:b w:val="false"/>
          <w:i w:val="false"/>
          <w:color w:val="000000"/>
          <w:sz w:val="24"/>
        </w:rPr>
        <w:t>где R</w:t>
      </w:r>
      <w:r>
        <w:rPr>
          <w:rFonts w:hint="default" w:ascii="Times New Roman" w:hAnsi="Times New Roman"/>
          <w:b w:val="false"/>
          <w:i w:val="false"/>
          <w:color w:val="000000"/>
          <w:vertAlign w:val="subscript"/>
        </w:rPr>
        <w:t>q</w:t>
      </w:r>
      <w:r>
        <w:rPr>
          <w:rFonts w:hint="default" w:ascii="Times New Roman" w:hAnsi="Times New Roman"/>
          <w:b w:val="false"/>
          <w:i w:val="false"/>
          <w:color w:val="000000"/>
          <w:sz w:val="24"/>
        </w:rPr>
        <w:t xml:space="preserve"> – внутреннее сопротивление вольтметра; U – напряжение на зажимах батареи; U</w:t>
      </w:r>
      <w:r>
        <w:rPr>
          <w:rFonts w:hint="default" w:ascii="Times New Roman" w:hAnsi="Times New Roman"/>
          <w:b w:val="false"/>
          <w:i w:val="false"/>
          <w:color w:val="000000"/>
          <w:vertAlign w:val="subscript"/>
        </w:rPr>
        <w:t>1</w:t>
      </w:r>
      <w:r>
        <w:rPr>
          <w:rFonts w:hint="default" w:ascii="Times New Roman" w:hAnsi="Times New Roman"/>
          <w:b w:val="false"/>
          <w:i w:val="false"/>
          <w:color w:val="000000"/>
          <w:sz w:val="24"/>
        </w:rPr>
        <w:t xml:space="preserve"> и U</w:t>
      </w:r>
      <w:r>
        <w:rPr>
          <w:rFonts w:hint="default" w:ascii="Times New Roman" w:hAnsi="Times New Roman"/>
          <w:b w:val="false"/>
          <w:i w:val="false"/>
          <w:color w:val="000000"/>
          <w:vertAlign w:val="subscript"/>
        </w:rPr>
        <w:t>2</w:t>
      </w:r>
      <w:r>
        <w:rPr>
          <w:rFonts w:hint="default" w:ascii="Times New Roman" w:hAnsi="Times New Roman"/>
          <w:b w:val="false"/>
          <w:i w:val="false"/>
          <w:color w:val="000000"/>
          <w:sz w:val="24"/>
        </w:rPr>
        <w:t xml:space="preserve"> – напряжения между положительным зажимом и землей и отрицательным зажимом и землей.</w:t>
      </w:r>
    </w:p>
    <w:bookmarkEnd w:id="1457"/>
    <w:bookmarkStart w:name="637602913" w:id="1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изоляции батареи должно быть не менее указанного ниже:</w:t>
      </w:r>
    </w:p>
    <w:bookmarkEnd w:id="1458"/>
    <w:bookmarkStart w:name="637602914" w:id="1459"/>
    <w:tbl>
      <w:tblPr>
        <w:tblW w:w="18660" w:type="auto"/>
        <w:tblCellSpacing w:w="0" w:type="auto"/>
        <w:tblBorders>
          <w:top w:val="none"/>
          <w:left w:val="none"/>
          <w:bottom w:val="none"/>
          <w:right w:val="none"/>
          <w:insideH w:val="none"/>
          <w:insideV w:val="none"/>
        </w:tblBorders>
        <w:tblLayout/>
      </w:tblPr>
      <w:tblGrid>
        <w:gridCol w:w="8040"/>
        <w:gridCol w:w="1581"/>
        <w:gridCol w:w="1581"/>
        <w:gridCol w:w="1582"/>
        <w:gridCol w:w="1608"/>
        <w:gridCol w:w="1608"/>
      </w:tblGrid>
      <w:tr>
        <w:trPr>
          <w:trHeight w:val="30" w:hRule="atLeast"/>
        </w:trPr>
        <w:tc>
          <w:tcPr>
            <w:tcW w:w="8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В</w:t>
            </w:r>
          </w:p>
        </w:tc>
        <w:tc>
          <w:tcPr>
            <w:tcW w:w="15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15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w:t>
            </w:r>
          </w:p>
        </w:tc>
        <w:tc>
          <w:tcPr>
            <w:tcW w:w="15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1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8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кОм</w:t>
            </w:r>
          </w:p>
        </w:tc>
        <w:tc>
          <w:tcPr>
            <w:tcW w:w="15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15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15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1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1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bl>
    <w:bookmarkEnd w:id="1459"/>
    <w:bookmarkStart w:name="637602915" w:id="1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проверка емкости отформованной аккумуляторной батареи.</w:t>
      </w:r>
    </w:p>
    <w:bookmarkEnd w:id="1460"/>
    <w:bookmarkStart w:name="637602916" w:id="1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Полностью заряженные аккумуляторы разряжают током 3- или 10-часового режима.</w:t>
      </w:r>
    </w:p>
    <w:bookmarkEnd w:id="1461"/>
    <w:bookmarkStart w:name="637602917" w:id="1462"/>
    <w:p>
      <w:pPr>
        <w:spacing w:before="120" w:after="120" w:line="240"/>
        <w:ind w:left="0"/>
        <w:jc w:val="both"/>
      </w:pPr>
      <w:r>
        <w:rPr>
          <w:rFonts w:hint="default" w:ascii="Times New Roman" w:hAnsi="Times New Roman"/>
          <w:b w:val="false"/>
          <w:i w:val="false"/>
          <w:color w:val="000000"/>
          <w:sz w:val="24"/>
        </w:rPr>
        <w:t>емкость аккумуляторной батареи, приведенная к температуре +25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должна соответствовать данным завода-изготовителя;</w:t>
      </w:r>
    </w:p>
    <w:bookmarkEnd w:id="1462"/>
    <w:bookmarkStart w:name="637602918" w:id="1463"/>
    <w:p>
      <w:pPr>
        <w:spacing w:before="120" w:after="120" w:line="240"/>
        <w:ind w:left="0"/>
        <w:jc w:val="both"/>
      </w:pPr>
      <w:r>
        <w:rPr>
          <w:rFonts w:hint="default" w:ascii="Times New Roman" w:hAnsi="Times New Roman"/>
          <w:b w:val="false"/>
          <w:i w:val="false"/>
          <w:color w:val="000000"/>
          <w:sz w:val="24"/>
        </w:rPr>
        <w:t>3) проверка плотности и температуры электролита. Плотность и температура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1463"/>
    <w:bookmarkStart w:name="637602919" w:id="14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химический анализ электролита. Электролит для заливки кислотных аккумуляторных батарей должен готовиться из серной аккумуляторной кислоты сорта А и дистиллированной воды.</w:t>
      </w:r>
    </w:p>
    <w:bookmarkEnd w:id="1464"/>
    <w:bookmarkStart w:name="637602920" w:id="1465"/>
    <w:p>
      <w:pPr>
        <w:spacing w:before="120" w:after="120" w:line="240"/>
        <w:ind w:left="0"/>
        <w:jc w:val="both"/>
      </w:pPr>
      <w:r>
        <w:rPr>
          <w:rFonts w:hint="default" w:ascii="Times New Roman" w:hAnsi="Times New Roman"/>
          <w:b/>
          <w:i w:val="false"/>
          <w:color w:val="000000"/>
          <w:sz w:val="24"/>
        </w:rPr>
        <w:t>Содержание примесей и нелетучего остатка в разведенном электролите не должно превышать значений, приведенных ниже;</w:t>
      </w:r>
    </w:p>
    <w:bookmarkEnd w:id="1465"/>
    <w:bookmarkStart w:name="637602921" w:id="1466"/>
    <w:tbl>
      <w:tblPr>
        <w:tblW w:w="18660" w:type="auto"/>
        <w:tblCellSpacing w:w="0" w:type="auto"/>
        <w:tblBorders>
          <w:top w:val="none"/>
          <w:left w:val="none"/>
          <w:bottom w:val="none"/>
          <w:right w:val="none"/>
          <w:insideH w:val="none"/>
          <w:insideV w:val="none"/>
        </w:tblBorders>
        <w:tblLayout/>
      </w:tblPr>
      <w:tblGrid>
        <w:gridCol w:w="13006"/>
        <w:gridCol w:w="2994"/>
      </w:tblGrid>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Прозрачность</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Прозрачная</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Окраска согласно калориметрическому определению, мл</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0,6</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Плотность, т/м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при 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w:t>
            </w:r>
          </w:p>
        </w:tc>
      </w:tr>
      <w:tr>
        <w:trPr>
          <w:trHeight w:val="30" w:hRule="atLeast"/>
        </w:trPr>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Содержание, %:</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моногидрата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24,8</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железа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0,006</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мышьяка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0,00005</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марганца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0,00005</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хлора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0,0005</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окислов азота</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0,00005</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Нелетучий остаток, %</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0,3</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Реакция на металлы, осаждаемые сероводородом</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Выдерживает испытание</w:t>
            </w:r>
          </w:p>
        </w:tc>
      </w:tr>
      <w:tr>
        <w:trPr>
          <w:trHeight w:val="30" w:hRule="atLeast"/>
        </w:trPr>
        <w:tc>
          <w:tcPr>
            <w:tcW w:w="13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Вещества, восстанавливающие марганцовокислый калий</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Выдерживает испытание</w:t>
            </w:r>
          </w:p>
        </w:tc>
      </w:tr>
    </w:tbl>
    <w:bookmarkEnd w:id="1466"/>
    <w:bookmarkStart w:name="637602922" w:id="1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измерение напряжения на элементах. Напряжение отстающих элементов в конце разряда не должно отличаться более чем на 1–1,5 % от среднего напряжения остальных элементов, а количество отстающих элементов должно быть не более 5 % их общего количества в батарее.</w:t>
      </w:r>
    </w:p>
    <w:bookmarkEnd w:id="1467"/>
    <w:bookmarkStart w:name="637602923" w:id="1468"/>
    <w:p>
      <w:pPr>
        <w:spacing w:before="120" w:after="120" w:line="240"/>
        <w:ind w:left="0"/>
        <w:jc w:val="center"/>
      </w:pPr>
      <w:r>
        <w:rPr>
          <w:rFonts w:hint="default" w:ascii="Times New Roman" w:hAnsi="Times New Roman"/>
          <w:b/>
          <w:i w:val="false"/>
          <w:color w:val="000000"/>
          <w:sz w:val="24"/>
        </w:rPr>
        <w:t>Параграф 28. Заземляющие устройства</w:t>
      </w:r>
    </w:p>
    <w:bookmarkEnd w:id="1468"/>
    <w:bookmarkStart w:name="637602924" w:id="14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303. Заземляющие устройства испытываются в объеме, предусмотренном настоящим параграфом:</w:t>
      </w:r>
    </w:p>
    <w:bookmarkEnd w:id="1469"/>
    <w:bookmarkStart w:name="637602925" w:id="14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проверка элементов заземляющего устройства. Производится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p>
    <w:bookmarkEnd w:id="1470"/>
    <w:bookmarkStart w:name="637602926" w:id="14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проверка цепи между заземлителями и заземляющими элементами. Проверяются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p>
    <w:bookmarkEnd w:id="1471"/>
    <w:bookmarkStart w:name="637602927" w:id="14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p>
    <w:bookmarkEnd w:id="1472"/>
    <w:bookmarkStart w:name="637602928" w:id="14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проверка цепи фаза-нуль в электроустановках до 1 кВ с глухим заземлением нейтрали. Проверка производится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p>
    <w:bookmarkEnd w:id="1473"/>
    <w:bookmarkStart w:name="637602929" w:id="14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 однофазного замыкания на корпус или нулевой провод должен обеспечивать надежное срабатывание защиты с учетом коэффициентов, приведенных в настоящих Правилах;</w:t>
      </w:r>
    </w:p>
    <w:bookmarkEnd w:id="1474"/>
    <w:bookmarkStart w:name="637602930" w:id="14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измерение сопротивления заземляющих устройств. Значения сопротивления должны удовлетворять значениям, приведенным в настоящих Правилах;</w:t>
      </w:r>
    </w:p>
    <w:bookmarkEnd w:id="1475"/>
    <w:bookmarkStart w:name="637602931" w:id="14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измерение напряжения прикосновения (в электроустановках, выполненных по нормам на напряжение прикосновения). Производится после монтажа, переустройства и капитального ремонта заземляющего устройства. Измерение производится при присоединенных естественных заземлителях и тросах ВЛ.</w:t>
      </w:r>
    </w:p>
    <w:bookmarkEnd w:id="1476"/>
    <w:bookmarkStart w:name="637602932" w:id="14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Напряжение прикосновения измеряется в контрольных точках, в которых эти величины определены расчетом при проектировании. Под длительностью воздействия напряжения понимается суммарное время действия релейной защиты и собственного времени отключения выключателя. Допустимые значения напряжения прикосновения на ОРУ подстанций 110–500 кВ приведены ниже;</w:t>
      </w:r>
    </w:p>
    <w:bookmarkEnd w:id="1477"/>
    <w:bookmarkStart w:name="637602933" w:id="1478"/>
    <w:tbl>
      <w:tblPr>
        <w:tblW w:w="18660" w:type="auto"/>
        <w:tblCellSpacing w:w="0" w:type="auto"/>
        <w:tblBorders>
          <w:top w:val="none"/>
          <w:left w:val="none"/>
          <w:bottom w:val="none"/>
          <w:right w:val="none"/>
          <w:insideH w:val="none"/>
          <w:insideV w:val="none"/>
        </w:tblBorders>
        <w:tblLayout/>
      </w:tblPr>
      <w:tblGrid>
        <w:gridCol w:w="7967"/>
        <w:gridCol w:w="1344"/>
        <w:gridCol w:w="1344"/>
        <w:gridCol w:w="1344"/>
        <w:gridCol w:w="1344"/>
        <w:gridCol w:w="1344"/>
        <w:gridCol w:w="1313"/>
      </w:tblGrid>
      <w:tr>
        <w:trPr>
          <w:trHeight w:val="30" w:hRule="atLeast"/>
        </w:trPr>
        <w:tc>
          <w:tcPr>
            <w:tcW w:w="79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Длительность воздействия напряжения, с</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w:t>
            </w:r>
          </w:p>
        </w:tc>
        <w:tc>
          <w:tcPr>
            <w:tcW w:w="13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и выше</w:t>
            </w:r>
          </w:p>
        </w:tc>
      </w:tr>
      <w:tr>
        <w:trPr>
          <w:trHeight w:val="30" w:hRule="atLeast"/>
        </w:trPr>
        <w:tc>
          <w:tcPr>
            <w:tcW w:w="79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прикосновения, В</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13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13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r>
    </w:tbl>
    <w:bookmarkEnd w:id="1478"/>
    <w:bookmarkStart w:name="637602934" w:id="14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проверка напряжения на заземляющем устройстве РУ электростанций и подстанций при стекании с него тока замыкания на землю. Производится после монтажа, переустройства, но не реже 1 раза в 12 лет для электроустановок напряжением выше 1 кВ в сети с эффективно заземленной нейтралью.</w:t>
      </w:r>
    </w:p>
    <w:bookmarkEnd w:id="1479"/>
    <w:bookmarkStart w:name="637602935" w:id="14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Напряжение на заземляющем устройстве:</w:t>
      </w:r>
    </w:p>
    <w:bookmarkEnd w:id="1480"/>
    <w:bookmarkStart w:name="637602936" w:id="14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ограничивается для электроустановок, с которых исключен вынос потенциалов за пределы зданий и внешних ограждений электроустановки;</w:t>
      </w:r>
    </w:p>
    <w:bookmarkEnd w:id="1481"/>
    <w:bookmarkStart w:name="637602937" w:id="1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более 10 кВ, если предусмотрены меры по защите изоляции отходящих кабелей связи и телемеханики и по предотвращению выноса потенциалов;</w:t>
      </w:r>
    </w:p>
    <w:bookmarkEnd w:id="1482"/>
    <w:bookmarkStart w:name="637602938" w:id="1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более 5 кВ во всех остальных случаях.</w:t>
      </w:r>
    </w:p>
    <w:bookmarkEnd w:id="1483"/>
    <w:bookmarkStart w:name="637602939" w:id="1484"/>
    <w:p>
      <w:pPr>
        <w:spacing w:before="120" w:after="120" w:line="240"/>
        <w:ind w:left="0"/>
        <w:jc w:val="center"/>
      </w:pPr>
      <w:r>
        <w:rPr>
          <w:rFonts w:hint="default" w:ascii="Times New Roman" w:hAnsi="Times New Roman"/>
          <w:b/>
          <w:i w:val="false"/>
          <w:color w:val="000000"/>
          <w:sz w:val="24"/>
        </w:rPr>
        <w:t>Параграф 29. Силовые кабельные линии</w:t>
      </w:r>
    </w:p>
    <w:bookmarkEnd w:id="1484"/>
    <w:bookmarkStart w:name="637602940" w:id="14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304. Силовые кабельные линии напряжением до 1 кВ испытываются по подпунктам 1), 2), 7), 13) настоящего пункта, напряжением выше 1 кВ и до 35 кВ – по подпунктам 1)–3), 6), 7), 11), 13) настоящего пункта, напряжением 110 кВ и выше – в полном объеме, предусмотренном 29 пунктом настоящих Правил:</w:t>
      </w:r>
    </w:p>
    <w:bookmarkEnd w:id="1485"/>
    <w:bookmarkStart w:name="637602941" w:id="14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проверка целостности и фазировки жил кабеля. Проверяются целость и совпадение обозначений фаз подключаемых жил кабеля;</w:t>
      </w:r>
    </w:p>
    <w:bookmarkEnd w:id="1486"/>
    <w:bookmarkStart w:name="637602942" w:id="14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измерение сопротивления изоляции.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производится до и после испытания кабеля повышенным напряжением;</w:t>
      </w:r>
    </w:p>
    <w:bookmarkEnd w:id="1487"/>
    <w:bookmarkStart w:name="637602943" w:id="14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испытание повышенным напряжением выпрямленного тока. Силовые кабели выше 1 кВ испытываются повышенным напряжением выпрямленного тока.</w:t>
      </w:r>
    </w:p>
    <w:bookmarkEnd w:id="1488"/>
    <w:bookmarkStart w:name="637602944" w:id="1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Значения испытательного напряжения и длительность приложения нормированного испытательного напряжения приведены в таблице 97 приложения к настоящим Правилам.</w:t>
      </w:r>
    </w:p>
    <w:bookmarkEnd w:id="1489"/>
    <w:bookmarkStart w:name="637602945" w:id="1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с резиновой изоляцией на напряжение до 1 кВ испытаниям повышенным напряжением не подвергаются.</w:t>
      </w:r>
    </w:p>
    <w:bookmarkEnd w:id="1490"/>
    <w:bookmarkStart w:name="637602946" w:id="1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процессе испытания повышенным напряжением выпрямленного тока обращается внимание на характер изменения тока утечки.</w:t>
      </w:r>
    </w:p>
    <w:bookmarkEnd w:id="1491"/>
    <w:bookmarkStart w:name="637602947" w:id="14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таблице 98 приложения к настоящим Правилам.</w:t>
      </w:r>
    </w:p>
    <w:bookmarkEnd w:id="1492"/>
    <w:bookmarkStart w:name="637602948" w:id="14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p>
    <w:bookmarkEnd w:id="1493"/>
    <w:bookmarkStart w:name="637602949" w:id="14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испытание повышенным напряжением промышленной частоты. Допускается производить для линий 110–220 кВ взамен испытания выпрямленным током; значение испытательного напряжения: для линий 110–220 кВ (130 кВ по отношению к земле); для линий 220–500 кВ (288 кВ по отношению к земле). Продолжительность приложения нормированного испытательного напряжения 5 минут;</w:t>
      </w:r>
    </w:p>
    <w:bookmarkEnd w:id="1494"/>
    <w:bookmarkStart w:name="637602950" w:id="1495"/>
    <w:p>
      <w:pPr>
        <w:spacing w:before="120" w:after="120" w:line="240"/>
        <w:ind w:left="0"/>
        <w:jc w:val="both"/>
      </w:pPr>
      <w:r>
        <w:rPr>
          <w:rFonts w:hint="default" w:ascii="Times New Roman" w:hAnsi="Times New Roman"/>
          <w:b w:val="false"/>
          <w:i w:val="false"/>
          <w:color w:val="000000"/>
          <w:sz w:val="24"/>
        </w:rPr>
        <w:t>5) определение активного сопротивления жил. Производится для линий 20 кВ и выше. Активное сопротивление жил кабельной линии постоянному току, приведенное к 1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сечения, 1 м длины и температуре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должно быть не более 0,01793 Ом для медной жилы и не более 0,0294 Ом для алюминиевой жилы.</w:t>
      </w:r>
    </w:p>
    <w:bookmarkEnd w:id="1495"/>
    <w:bookmarkStart w:name="637602951" w:id="1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Измеренное сопротивление (приведенное к удельному значению) может отличаться от указанных значений не более чем на 5 %;</w:t>
      </w:r>
    </w:p>
    <w:bookmarkEnd w:id="1496"/>
    <w:bookmarkStart w:name="637602952" w:id="14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определение электрической рабочей емкости жил. Производится для линий 20 кВ и выше. Измеренная емкость, приведенная к удельным величинам, не должна отличаться от результатов заводских испытаний более чем на 5 %;</w:t>
      </w:r>
    </w:p>
    <w:bookmarkEnd w:id="1497"/>
    <w:bookmarkStart w:name="637602953" w:id="14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измерение распределения тока по одножильным кабелям. Неравномерность в распределении токов на кабелях не должна быть более 10 %;</w:t>
      </w:r>
    </w:p>
    <w:bookmarkEnd w:id="1498"/>
    <w:bookmarkStart w:name="637602954" w:id="14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проверка защиты от блуждающих токов. Производится проверка действия установленных катодных защит;</w:t>
      </w:r>
    </w:p>
    <w:bookmarkEnd w:id="1499"/>
    <w:bookmarkStart w:name="637602955" w:id="15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0,1 %;</w:t>
      </w:r>
    </w:p>
    <w:bookmarkEnd w:id="1500"/>
    <w:bookmarkStart w:name="637602956" w:id="15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испытание подпитывающих агрегатов и автоматического подогрева концевых муфт. Производится для маслонаполненных кабельных линий 110–220 кВ;</w:t>
      </w:r>
    </w:p>
    <w:bookmarkEnd w:id="1501"/>
    <w:bookmarkStart w:name="637602957" w:id="15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контроль состояния антикоррозийного покрытия. Производится для стального трубопровода маслонаполненных кабельных линий 110–220 кВ;</w:t>
      </w:r>
    </w:p>
    <w:bookmarkEnd w:id="1502"/>
    <w:bookmarkStart w:name="637602958" w:id="15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определение характеристик масла и изоляционной жидкости.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bookmarkEnd w:id="1503"/>
    <w:bookmarkStart w:name="637602959" w:id="1504"/>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Пробы масел марок С-220, 5-РА, МН-3 и МН-4 и изоляционной жидкости марки ПМС должны удовлетворять требованиям норм таблицах 99 и 100 приложения к настоящим Правилам.</w:t>
      </w:r>
    </w:p>
    <w:bookmarkEnd w:id="1504"/>
    <w:bookmarkStart w:name="637602960" w:id="1505"/>
    <w:p>
      <w:pPr>
        <w:spacing w:before="120" w:after="120" w:line="240"/>
        <w:ind w:left="0"/>
        <w:jc w:val="both"/>
      </w:pPr>
      <w:r>
        <w:rPr>
          <w:rFonts w:hint="default" w:ascii="Times New Roman" w:hAnsi="Times New Roman"/>
          <w:b w:val="false"/>
          <w:i w:val="false"/>
          <w:color w:val="000000"/>
          <w:sz w:val="24"/>
        </w:rPr>
        <w:t>Если значения электрической прочности и степени дегазации масла МН-4 соответствуют нормам, а значения tg</w:t>
      </w: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17500" cy="393700"/>
                    </a:xfrm>
                    <a:prstGeom prst="rect">
                      <a:avLst/>
                    </a:prstGeom>
                  </pic:spPr>
                </pic:pic>
              </a:graphicData>
            </a:graphic>
          </wp:inline>
        </w:drawing>
      </w:r>
      <w:r>
        <w:rPr>
          <w:rFonts w:hint="default" w:ascii="Times New Roman" w:hAnsi="Times New Roman"/>
          <w:b w:val="false"/>
          <w:i w:val="false"/>
          <w:color w:val="000000"/>
          <w:sz w:val="24"/>
        </w:rPr>
        <w:t xml:space="preserve"> , превышают указанные в таблице 100, пробу масла дополнительно выдерживают при температуре 100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в течение 2 ч., периодически измеряя tg</w:t>
      </w: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17500" cy="393700"/>
                    </a:xfrm>
                    <a:prstGeom prst="rect">
                      <a:avLst/>
                    </a:prstGeom>
                  </pic:spPr>
                </pic:pic>
              </a:graphicData>
            </a:graphic>
          </wp:inline>
        </w:drawing>
      </w:r>
      <w:r>
        <w:rPr>
          <w:rFonts w:hint="default" w:ascii="Times New Roman" w:hAnsi="Times New Roman"/>
          <w:b w:val="false"/>
          <w:i w:val="false"/>
          <w:color w:val="000000"/>
          <w:sz w:val="24"/>
        </w:rPr>
        <w:t xml:space="preserve"> . При уменьшении значения tg</w:t>
      </w: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7500" cy="393700"/>
                    </a:xfrm>
                    <a:prstGeom prst="rect">
                      <a:avLst/>
                    </a:prstGeom>
                  </pic:spPr>
                </pic:pic>
              </a:graphicData>
            </a:graphic>
          </wp:inline>
        </w:drawing>
      </w:r>
      <w:r>
        <w:rPr>
          <w:rFonts w:hint="default" w:ascii="Times New Roman" w:hAnsi="Times New Roman"/>
          <w:b w:val="false"/>
          <w:i w:val="false"/>
          <w:color w:val="000000"/>
          <w:sz w:val="24"/>
        </w:rPr>
        <w:t xml:space="preserve"> проба масла выдерживается при температуре 100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 получения установившегося значения, которое принимается за контрольное значение.</w:t>
      </w:r>
    </w:p>
    <w:bookmarkEnd w:id="1505"/>
    <w:bookmarkStart w:name="637602961" w:id="15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для МНКЛ низкого давления производить отбор проб масла из коллектора, а при неудовлетворительных результатах – из баков давления;</w:t>
      </w:r>
    </w:p>
    <w:bookmarkEnd w:id="1506"/>
    <w:bookmarkStart w:name="637602962" w:id="15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измерение сопротивления заземления. Производится на линиях всех напряжений для концевых заделок, а на линиях 110–220 кВ, для металлических конструкций кабельных колодцев и подпиточных пунктов.</w:t>
      </w:r>
    </w:p>
    <w:bookmarkEnd w:id="1507"/>
    <w:bookmarkStart w:name="637602963" w:id="1508"/>
    <w:p>
      <w:pPr>
        <w:spacing w:before="120" w:after="120" w:line="240"/>
        <w:ind w:left="0"/>
        <w:jc w:val="center"/>
      </w:pPr>
      <w:r>
        <w:rPr>
          <w:rFonts w:hint="default" w:ascii="Times New Roman" w:hAnsi="Times New Roman"/>
          <w:b/>
          <w:i w:val="false"/>
          <w:color w:val="000000"/>
          <w:sz w:val="24"/>
        </w:rPr>
        <w:t>Параграф 30. Воздушные линии электропередачи напряжениемвыше 1 кВ</w:t>
      </w:r>
    </w:p>
    <w:bookmarkEnd w:id="1508"/>
    <w:bookmarkStart w:name="637602964" w:id="15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305. Воздушные линии электропередачи испытываются в объеме, предусмотренном настоящим параграфом:</w:t>
      </w:r>
    </w:p>
    <w:bookmarkEnd w:id="1509"/>
    <w:bookmarkStart w:name="637602965" w:id="15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проверка изоляторов производится согласно пункту 299 настоящих Правил;</w:t>
      </w:r>
    </w:p>
    <w:bookmarkEnd w:id="1510"/>
    <w:bookmarkStart w:name="637602966" w:id="15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проверка соединений проводов производится путем внешнего осмотра и измерения падения напряжения или сопротивления.</w:t>
      </w:r>
    </w:p>
    <w:bookmarkEnd w:id="1511"/>
    <w:bookmarkStart w:name="637602967" w:id="15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Опрессованные соединения проводов бракуются, если:</w:t>
      </w:r>
    </w:p>
    <w:bookmarkEnd w:id="1512"/>
    <w:bookmarkStart w:name="637602968" w:id="15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стальной сердечник опрессованного соединителя расположен несимметрично;</w:t>
      </w:r>
    </w:p>
    <w:bookmarkEnd w:id="1513"/>
    <w:bookmarkStart w:name="637602969" w:id="15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bookmarkEnd w:id="1514"/>
    <w:bookmarkStart w:name="637602970" w:id="15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поверхности соединителя или зажима имеются трещины, следы значительной коррозии и механических повреждений;</w:t>
      </w:r>
    </w:p>
    <w:bookmarkEnd w:id="1515"/>
    <w:bookmarkStart w:name="637602971" w:id="15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падение напряжения или сопротивление на участке соединения (соединителя) более чем в 1,2 раза превышает падение напряжения или сопротивление на участке провода той же длины (испытание проводится выборочно на 5–10 % соединителей);</w:t>
      </w:r>
    </w:p>
    <w:bookmarkEnd w:id="1516"/>
    <w:bookmarkStart w:name="637602972" w:id="15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кривизна опрессованного соединителя превышает 3 % его длины.</w:t>
      </w:r>
    </w:p>
    <w:bookmarkEnd w:id="1517"/>
    <w:bookmarkStart w:name="637602973" w:id="15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Сварные соединения бракуются, если:</w:t>
      </w:r>
    </w:p>
    <w:bookmarkEnd w:id="1518"/>
    <w:bookmarkStart w:name="637602974" w:id="15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произошел пережог повива наружного провода или обнаружено нарушение сварки при перегибе соединенных проводов;</w:t>
      </w:r>
    </w:p>
    <w:bookmarkEnd w:id="1519"/>
    <w:bookmarkStart w:name="637602975" w:id="1520"/>
    <w:p>
      <w:pPr>
        <w:spacing w:before="120" w:after="120" w:line="240"/>
        <w:ind w:left="0"/>
        <w:jc w:val="both"/>
      </w:pPr>
      <w:r>
        <w:rPr>
          <w:rFonts w:hint="default" w:ascii="Times New Roman" w:hAnsi="Times New Roman"/>
          <w:b w:val="false"/>
          <w:i w:val="false"/>
          <w:color w:val="000000"/>
          <w:sz w:val="24"/>
        </w:rPr>
        <w:t>усадочная раковина в месте сварки имеет глубину более 1/3 диаметра провода, а для сталеалюминиевых проводов сечением 150–600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более 6 мм;</w:t>
      </w:r>
    </w:p>
    <w:bookmarkEnd w:id="1520"/>
    <w:bookmarkStart w:name="637602976" w:id="15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падение напряжения или сопротивление превышает более чем в 1,2 раза падение напряжения или сопротивление на участке провода такой же длины;</w:t>
      </w:r>
    </w:p>
    <w:bookmarkEnd w:id="1521"/>
    <w:bookmarkStart w:name="637602977" w:id="15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измерение сопротивления заземления опор, их оттяжек и тросов производится в соответствии с пунктом 303 настоящих Правил.</w:t>
      </w:r>
    </w:p>
    <w:bookmarkEnd w:id="1522"/>
    <w:bookmarkStart w:name="637602978" w:id="1523"/>
    <w:p>
      <w:pPr>
        <w:spacing w:before="120" w:after="120" w:line="240"/>
        <w:ind w:left="0"/>
        <w:jc w:val="both"/>
      </w:pPr>
      <w:r>
        <w:rPr>
          <w:rFonts w:hint="default" w:ascii="Times New Roman" w:hAnsi="Times New Roman"/>
          <w:b/>
          <w:i w:val="false"/>
          <w:color w:val="000000"/>
          <w:sz w:val="24"/>
        </w:rPr>
        <w:t>9. Изоляция электроустановок переменного тока</w:t>
      </w:r>
    </w:p>
    <w:bookmarkEnd w:id="1523"/>
    <w:bookmarkStart w:name="637602979" w:id="1524"/>
    <w:p>
      <w:pPr>
        <w:spacing w:before="120" w:after="120" w:line="240"/>
        <w:ind w:left="0"/>
        <w:jc w:val="center"/>
      </w:pPr>
      <w:r>
        <w:rPr>
          <w:rFonts w:hint="default" w:ascii="Times New Roman" w:hAnsi="Times New Roman"/>
          <w:b/>
          <w:i w:val="false"/>
          <w:color w:val="000000"/>
          <w:sz w:val="24"/>
        </w:rPr>
        <w:t>Параграф 1. Общие требования</w:t>
      </w:r>
    </w:p>
    <w:bookmarkEnd w:id="1524"/>
    <w:bookmarkStart w:name="637602980" w:id="15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306.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производится также по разрядным характеристикам в загрязненном и увлажненном состоянии.</w:t>
      </w:r>
    </w:p>
    <w:bookmarkEnd w:id="1525"/>
    <w:bookmarkStart w:name="637602981" w:id="15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bookmarkEnd w:id="1526"/>
    <w:bookmarkStart w:name="637602982" w:id="15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307. Определение СЗ должно производиться в зависимости от характеристик источников загрязнения и расстояния от них до электроустановки в соответствии с таблицей 102-117 приложения к настоящим Правилам. В случаях, когда использование таблиц 102-117 приложения к настоящим Правилам, по тем или иным причинам невозможно, определение СЗ производится по КСЗ.</w:t>
      </w:r>
    </w:p>
    <w:bookmarkEnd w:id="1527"/>
    <w:bookmarkStart w:name="637602983" w:id="15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производится по КСЗ.</w:t>
      </w:r>
    </w:p>
    <w:bookmarkEnd w:id="1528"/>
    <w:bookmarkStart w:name="637602984" w:id="15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308. Длина пути утечки L (см) изоляторов и изоляционных конструкций из стекла и фарфора должна определяться по формуле</w:t>
      </w:r>
    </w:p>
    <w:bookmarkEnd w:id="1529"/>
    <w:bookmarkStart w:name="637602985" w:id="1530"/>
    <w:p>
      <w:pPr>
        <w:spacing w:before="120" w:after="120" w:line="240"/>
        <w:ind w:left="0"/>
        <w:jc w:val="center"/>
      </w:pPr>
      <w:r>
        <w:rPr>
          <w:rFonts w:hint="default" w:ascii="Times New Roman" w:hAnsi="Times New Roman"/>
          <w:b w:val="false"/>
          <w:i w:val="false"/>
          <w:color w:val="000000"/>
          <w:sz w:val="24"/>
        </w:rPr>
        <w:t xml:space="preserve">L =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х U х k,</w:t>
      </w:r>
    </w:p>
    <w:bookmarkEnd w:id="1530"/>
    <w:bookmarkStart w:name="637602986" w:id="1531"/>
    <w:p>
      <w:pPr>
        <w:spacing w:before="120" w:after="120" w:line="240"/>
        <w:ind w:left="0"/>
        <w:jc w:val="both"/>
      </w:pPr>
      <w:r>
        <w:rPr>
          <w:rFonts w:hint="default" w:ascii="Times New Roman" w:hAnsi="Times New Roman"/>
          <w:b w:val="false"/>
          <w:i w:val="false"/>
          <w:color w:val="000000"/>
          <w:sz w:val="24"/>
        </w:rPr>
        <w:t xml:space="preserve">где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удельная эффективная длина пути утечки по таблице 101, см/кВ;</w:t>
      </w:r>
    </w:p>
    <w:bookmarkEnd w:id="1531"/>
    <w:bookmarkStart w:name="637602987" w:id="15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U - наибольшее рабочее междуфазное напряжение, кВ;</w:t>
      </w:r>
    </w:p>
    <w:bookmarkEnd w:id="1532"/>
    <w:bookmarkStart w:name="637602988" w:id="15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k — коэффициент использования длины пути утечки (параграф 6 настоящей главы).</w:t>
      </w:r>
    </w:p>
    <w:bookmarkEnd w:id="1533"/>
    <w:bookmarkStart w:name="637602989" w:id="1534"/>
    <w:p>
      <w:pPr>
        <w:spacing w:before="120" w:after="120" w:line="240"/>
        <w:ind w:left="0"/>
        <w:jc w:val="center"/>
      </w:pPr>
      <w:r>
        <w:rPr>
          <w:rFonts w:hint="default" w:ascii="Times New Roman" w:hAnsi="Times New Roman"/>
          <w:b/>
          <w:i w:val="false"/>
          <w:color w:val="000000"/>
          <w:sz w:val="24"/>
        </w:rPr>
        <w:t>Параграф 2. Изоляция ВЛ</w:t>
      </w:r>
    </w:p>
    <w:bookmarkEnd w:id="1534"/>
    <w:bookmarkStart w:name="637602990" w:id="15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309. 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таблице 101 приложения к настоящим Правилам.</w:t>
      </w:r>
    </w:p>
    <w:bookmarkEnd w:id="1535"/>
    <w:bookmarkStart w:name="637602991" w:id="15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таблице 101 приложения к настоящим Правилам:</w:t>
      </w:r>
    </w:p>
    <w:bookmarkEnd w:id="1536"/>
    <w:bookmarkStart w:name="637602992" w:id="15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 1000 до 2000 м - на 5 %;</w:t>
      </w:r>
    </w:p>
    <w:bookmarkEnd w:id="1537"/>
    <w:bookmarkStart w:name="637602993" w:id="15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 2000 до 3000 м - на 10 %;</w:t>
      </w:r>
    </w:p>
    <w:bookmarkEnd w:id="1538"/>
    <w:bookmarkStart w:name="637602994" w:id="15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 3000 до 4000 м - на 15 %.</w:t>
      </w:r>
    </w:p>
    <w:bookmarkEnd w:id="1539"/>
    <w:bookmarkStart w:name="637602995" w:id="15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310. Изоляционные расстояния по воздуху от токоведущих до заземленных частей опор должны соответствовать требованиям главы 17 раздела 2 настоящих Правил.</w:t>
      </w:r>
    </w:p>
    <w:bookmarkEnd w:id="1540"/>
    <w:bookmarkStart w:name="637602996" w:id="1541"/>
    <w:p>
      <w:pPr>
        <w:spacing w:before="120" w:after="120" w:line="240"/>
        <w:ind w:left="0"/>
        <w:jc w:val="both"/>
      </w:pPr>
      <w:r>
        <w:rPr>
          <w:rFonts w:hint="default" w:ascii="Times New Roman" w:hAnsi="Times New Roman"/>
          <w:b w:val="false"/>
          <w:i w:val="false"/>
          <w:color w:val="000000"/>
          <w:sz w:val="24"/>
        </w:rPr>
        <w:t>311. Количество подвесных тарельчатых изоляторов в поддерживающих гирляндах и в последовательной цепи гирлянд специальной конструкции (V-образных, Л-образных, -</w:t>
      </w:r>
      <w:r>
        <w:drawing>
          <wp:inline distT="0" distB="0" distL="0" distR="0">
            <wp:extent cx="36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8300" cy="406400"/>
                    </a:xfrm>
                    <a:prstGeom prst="rect">
                      <a:avLst/>
                    </a:prstGeom>
                  </pic:spPr>
                </pic:pic>
              </a:graphicData>
            </a:graphic>
          </wp:inline>
        </w:drawing>
      </w:r>
      <w:r>
        <w:rPr>
          <w:rFonts w:hint="default" w:ascii="Times New Roman" w:hAnsi="Times New Roman"/>
          <w:b w:val="false"/>
          <w:i w:val="false"/>
          <w:color w:val="000000"/>
          <w:sz w:val="24"/>
        </w:rPr>
        <w:t xml:space="preserve"> образных, Y - образных составленных из изоляторов одного тип1) для ВЛ на металлических и железобетонных опорах должно определяться по формуле</w:t>
      </w:r>
    </w:p>
    <w:bookmarkEnd w:id="1541"/>
    <w:bookmarkStart w:name="637602997" w:id="1542"/>
    <w:p>
      <w:pPr>
        <w:spacing w:before="120" w:after="120" w:line="240"/>
        <w:ind w:left="0"/>
        <w:jc w:val="center"/>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2300" cy="508000"/>
                    </a:xfrm>
                    <a:prstGeom prst="rect">
                      <a:avLst/>
                    </a:prstGeom>
                  </pic:spPr>
                </pic:pic>
              </a:graphicData>
            </a:graphic>
          </wp:inline>
        </w:drawing>
      </w:r>
    </w:p>
    <w:bookmarkEnd w:id="1542"/>
    <w:bookmarkStart w:name="637602998" w:id="1543"/>
    <w:p>
      <w:pPr>
        <w:spacing w:before="120" w:after="120" w:line="240"/>
        <w:ind w:left="0"/>
        <w:jc w:val="both"/>
      </w:pPr>
      <w:r>
        <w:rPr>
          <w:b w:val="false"/>
          <w:i w:val="false"/>
          <w:color w:val="000000"/>
          <w:sz w:val="24"/>
        </w:rPr>
        <w:t> </w:t>
      </w:r>
      <w:r>
        <w:br/>
      </w:r>
      <w:r>
        <w:rPr>
          <w:b w:val="false"/>
          <w:i w:val="false"/>
          <w:color w:val="000000"/>
          <w:sz w:val="24"/>
        </w:rPr>
        <w:t>
 где L</w:t>
      </w:r>
      <w:r>
        <w:rPr>
          <w:b w:val="false"/>
          <w:i w:val="false"/>
          <w:color w:val="000000"/>
          <w:vertAlign w:val="subscript"/>
        </w:rPr>
        <w:t>и</w:t>
      </w:r>
      <w:r>
        <w:rPr>
          <w:b w:val="false"/>
          <w:i w:val="false"/>
          <w:color w:val="000000"/>
          <w:sz w:val="24"/>
        </w:rPr>
        <w:t xml:space="preserve"> - длина пути утечки одного изолятора по стандарту или техническим условиям на изолятор конкретного типа, см. Если расчет m не дает целого числа, то выбирают следующее целое число.</w:t>
      </w:r>
    </w:p>
    <w:bookmarkEnd w:id="1543"/>
    <w:bookmarkStart w:name="637602999" w:id="15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312.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пункту 307 главы 9 настоящих Правил и независимо от материала опор должно составлять не менее двух.</w:t>
      </w:r>
    </w:p>
    <w:bookmarkEnd w:id="1544"/>
    <w:bookmarkStart w:name="637603000" w:id="15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увеличивается на один изолятор в каждой гирлянде по сравнению с количеством, полученным по пункту 307 главы 9 настоящих Правил.</w:t>
      </w:r>
    </w:p>
    <w:bookmarkEnd w:id="1545"/>
    <w:bookmarkStart w:name="637603001" w:id="15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напряжением 150-750 кВ на металлических и железобетонных опорах количество тарельчатых изоляторов в натяжных гирляндах должно определяться по пункту 307 главы 9 настоящих Правил.</w:t>
      </w:r>
    </w:p>
    <w:bookmarkEnd w:id="1546"/>
    <w:bookmarkStart w:name="637603002" w:id="15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313.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bookmarkEnd w:id="1547"/>
    <w:bookmarkStart w:name="637603003" w:id="15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bookmarkEnd w:id="1548"/>
    <w:bookmarkStart w:name="637603004" w:id="1549"/>
    <w:p>
      <w:pPr>
        <w:spacing w:before="120" w:after="120" w:line="240"/>
        <w:ind w:left="0"/>
        <w:jc w:val="both"/>
      </w:pPr>
      <w:r>
        <w:rPr>
          <w:rFonts w:hint="default" w:ascii="Times New Roman" w:hAnsi="Times New Roman"/>
          <w:b w:val="false"/>
          <w:i w:val="false"/>
          <w:color w:val="000000"/>
          <w:sz w:val="24"/>
        </w:rPr>
        <w:t xml:space="preserve">314.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1,9 см/кВ для ВЛ напряжением 6-35 кВ и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bookmarkEnd w:id="1549"/>
    <w:bookmarkStart w:name="637603005" w:id="15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315. В гирляндах тарельчатых изоляторов из стекла или фарфора, подвешенных на высоте более 100 м, в соответствии по пункту 311 главы 9 настоящих Правил предусматриваются сверх определенного два дополнительных изолятора.</w:t>
      </w:r>
    </w:p>
    <w:bookmarkEnd w:id="1550"/>
    <w:bookmarkStart w:name="637603006" w:id="15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316. Выбор изоляции ВЛ с изолированными проводами должен производиться в соответствии с параграфом 6 настоящей главы.</w:t>
      </w:r>
    </w:p>
    <w:bookmarkEnd w:id="1551"/>
    <w:bookmarkStart w:name="637603007" w:id="1552"/>
    <w:p>
      <w:pPr>
        <w:spacing w:before="120" w:after="120" w:line="240"/>
        <w:ind w:left="0"/>
        <w:jc w:val="center"/>
      </w:pPr>
      <w:r>
        <w:rPr>
          <w:rFonts w:hint="default" w:ascii="Times New Roman" w:hAnsi="Times New Roman"/>
          <w:b/>
          <w:i w:val="false"/>
          <w:color w:val="000000"/>
          <w:sz w:val="24"/>
        </w:rPr>
        <w:t>Параграф 3. Внешняя стеклянная и фарфоровая изоляция электрооборудования и ОРУ</w:t>
      </w:r>
    </w:p>
    <w:bookmarkEnd w:id="1552"/>
    <w:bookmarkStart w:name="637603008" w:id="15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317.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таблице 101 приложения к настоящим Правилам.</w:t>
      </w:r>
    </w:p>
    <w:bookmarkEnd w:id="1553"/>
    <w:bookmarkStart w:name="637603009" w:id="15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таблице 101, а на высоте от 2000 до 3000 м - на одну степень загрязнения выше по сравнению с нормированной.</w:t>
      </w:r>
    </w:p>
    <w:bookmarkEnd w:id="1554"/>
    <w:bookmarkStart w:name="637603010" w:id="15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318.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главы 17 раздела 2 настоящих Правил.</w:t>
      </w:r>
    </w:p>
    <w:bookmarkEnd w:id="1555"/>
    <w:bookmarkStart w:name="637603011" w:id="15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319. В натяжных и поддерживающих гирляндах ОРУ число тарельчатых изоляторов определяется по пункту 308 главы 9 настоящих Правил с добавлением в каждую цепь гирлянды напряжением 110-150 кВ - одного, 220-330 кВ - двух, 500 кВ - трех, 750 кВ - четырех изоляторов.</w:t>
      </w:r>
    </w:p>
    <w:bookmarkEnd w:id="1556"/>
    <w:bookmarkStart w:name="637603012" w:id="15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320. При отсутствии электрооборудования, удовлетворяющего требованиям таблицы 101 приложения к настоящим Правилам для районов с 3-4 СЗ, необходимо применять оборудование, изоляторы и вводы на более высокие номинальные напряжения с изоляцией, удовлетворяющей таблице 101 приложения к настоящим Правилам.</w:t>
      </w:r>
    </w:p>
    <w:bookmarkEnd w:id="1557"/>
    <w:bookmarkStart w:name="637603013" w:id="15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321. В районах с условиями загрязнения, превышающими 4-ю СЗ, предусматривается сооружение ЗРУ.</w:t>
      </w:r>
    </w:p>
    <w:bookmarkEnd w:id="1558"/>
    <w:bookmarkStart w:name="637603014" w:id="15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322. ОРУ напряжением 500-750 кВ и, ОРУ напряжением 110-330 кВ с большим количеством присоединений не должны располагаться в зонах с 3-4-й СЗ.</w:t>
      </w:r>
    </w:p>
    <w:bookmarkEnd w:id="1559"/>
    <w:bookmarkStart w:name="637603015" w:id="15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323.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 СЗ.</w:t>
      </w:r>
    </w:p>
    <w:bookmarkEnd w:id="1560"/>
    <w:bookmarkStart w:name="637603016" w:id="15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324. В районах с 1-3-й СЗ должны применяться КРУН и КТП с изоляцией по таблице 101 приложения к настоящим Правилам. В районах с 4 СЗ допускается применение только КРУН и КТП с изоляторами специального исполнения.</w:t>
      </w:r>
    </w:p>
    <w:bookmarkEnd w:id="1561"/>
    <w:bookmarkStart w:name="637603017" w:id="1562"/>
    <w:p>
      <w:pPr>
        <w:spacing w:before="120" w:after="120" w:line="240"/>
        <w:ind w:left="0"/>
        <w:jc w:val="both"/>
      </w:pPr>
      <w:r>
        <w:rPr>
          <w:rFonts w:hint="default" w:ascii="Times New Roman" w:hAnsi="Times New Roman"/>
          <w:b w:val="false"/>
          <w:i w:val="false"/>
          <w:color w:val="000000"/>
          <w:sz w:val="24"/>
        </w:rPr>
        <w:t xml:space="preserve">325. Изоляторы гибких и жестких наружных открытых токопроводов должны выбираться с удельной эффективной длиной пути утечки по таблице 101: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1,9 см/кВ на номинальное напряжение 20 кВ для токопроводов 10 кВ в районах с 1-3-й СЗ;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3,0 см/кВ на номинальное напряжение 20 кВ для токопроводов 10 кВ в районах с 4-й СЗ; </w:t>
      </w: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2,0 см/кВ на номинальное напряжение 35 кВ для токопроводов 13,8-24 кВ в районах с 1-4-й СЗ.</w:t>
      </w:r>
    </w:p>
    <w:bookmarkEnd w:id="1562"/>
    <w:bookmarkStart w:name="637603018" w:id="1563"/>
    <w:p>
      <w:pPr>
        <w:spacing w:before="120" w:after="120" w:line="240"/>
        <w:ind w:left="0"/>
        <w:jc w:val="center"/>
      </w:pPr>
      <w:r>
        <w:rPr>
          <w:rFonts w:hint="default" w:ascii="Times New Roman" w:hAnsi="Times New Roman"/>
          <w:b/>
          <w:i w:val="false"/>
          <w:color w:val="000000"/>
          <w:sz w:val="24"/>
        </w:rPr>
        <w:t>Параграф 4. Выбор изоляции по разрядным характеристикам</w:t>
      </w:r>
    </w:p>
    <w:bookmarkEnd w:id="1563"/>
    <w:bookmarkStart w:name="637603019" w:id="15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326. Гирлянды ВЛ напряжением 6-750 кВ, внешняя изоляция электрооборудования и изоляторы ОРУ напряжением 6-750 кВ должны иметь 50%-ные разрядные напряжения промышленной частоты в загрязненном и увлажненном состоянии не ниже значений, приведенных в таблице 102 приложения к настоящим Правилам.</w:t>
      </w:r>
    </w:p>
    <w:bookmarkEnd w:id="1564"/>
    <w:bookmarkStart w:name="637603020" w:id="15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Удельная поверхностная проводимость слоя загрязнения должна приниматься (не менее):</w:t>
      </w:r>
    </w:p>
    <w:bookmarkEnd w:id="1565"/>
    <w:bookmarkStart w:name="637603021" w:id="15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1-й СЗ - 5 мкСм, 2-й СЗ - 10 мкСм, 3-й СЗ - 20 мкСм, 4-й СЗ – 30 мкСм.</w:t>
      </w:r>
    </w:p>
    <w:bookmarkEnd w:id="1566"/>
    <w:bookmarkStart w:name="637603022" w:id="1567"/>
    <w:p>
      <w:pPr>
        <w:spacing w:before="120" w:after="120" w:line="240"/>
        <w:ind w:left="0"/>
        <w:jc w:val="center"/>
      </w:pPr>
      <w:r>
        <w:rPr>
          <w:rFonts w:hint="default" w:ascii="Times New Roman" w:hAnsi="Times New Roman"/>
          <w:b/>
          <w:i w:val="false"/>
          <w:color w:val="000000"/>
          <w:sz w:val="24"/>
        </w:rPr>
        <w:t>Параграф 5. Определение степени загрязнения</w:t>
      </w:r>
    </w:p>
    <w:bookmarkEnd w:id="1567"/>
    <w:bookmarkStart w:name="637603023" w:id="15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327. В районах, не попадающих в зону влияния промышленных источников загрязнения (леса, тундра, лесотундра, луга), применяется изоляция с меньшей удельной эффективной длиной пути утечки, чем нормированная в таблице 101 приложения к настоящим Правилам для 1-й СЗ.</w:t>
      </w:r>
    </w:p>
    <w:bookmarkEnd w:id="1568"/>
    <w:bookmarkStart w:name="637603024" w:id="15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328.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bookmarkEnd w:id="1569"/>
    <w:bookmarkStart w:name="637603025" w:id="15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329. В промышленных районах при наличии обосновывающих данных применяется изоляция с большей удельной эффективной длиной пути утечки, чем нормированная в таблице 101 приложения к настоящим Правилам для 4-й СЗ.</w:t>
      </w:r>
    </w:p>
    <w:bookmarkEnd w:id="1570"/>
    <w:bookmarkStart w:name="637603026" w:id="15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330. Степень загрязнения вблизи промышленных предприятий должна определяться по таблицам 102-111 приложения к настоящим Правилам в зависимости от вида и расчетного объема выпускаемой продукции и расстояния до источника загрязнений.</w:t>
      </w:r>
    </w:p>
    <w:bookmarkEnd w:id="1571"/>
    <w:bookmarkStart w:name="637603027" w:id="15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bookmarkEnd w:id="1572"/>
    <w:bookmarkStart w:name="637603028" w:id="15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331. Степень загрязнения вблизи ТЭС и промышленных котельных должна определяться по таблице 112 приложения к настоящим Правилам в зависимости от вида топлива, мощности станции и высоты дымовых труб.</w:t>
      </w:r>
    </w:p>
    <w:bookmarkEnd w:id="1573"/>
    <w:bookmarkStart w:name="637603029" w:id="15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332. При отсчете расстояний по таблицах 102-112 приложения к настоящим Правилам границей источника загрязнения является кривая, огибающая все места выбросов в атмосферу на данном предприятии (ТЭС).</w:t>
      </w:r>
    </w:p>
    <w:bookmarkEnd w:id="1574"/>
    <w:bookmarkStart w:name="637603030" w:id="15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333. В случае превышения объема выпускаемой продукции и мощности ТЭС, по сравнению с указанными в таблицах 102-112 приложения к настоящим Правилам, увеличивается СЗ не менее чем на одну ступень.</w:t>
      </w:r>
    </w:p>
    <w:bookmarkEnd w:id="1575"/>
    <w:bookmarkStart w:name="637603031" w:id="15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334.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определяется согласно настоящими Правилами.</w:t>
      </w:r>
    </w:p>
    <w:bookmarkEnd w:id="1576"/>
    <w:bookmarkStart w:name="637603032" w:id="15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335. Если на одном промышленном предприятии выпускается продукция нескольких отраслей (или подотраслей) промышленности, указанных в таблице 102-111 приложения настоящих Правил, то СЗ определяется согласно пункта 329 настоящих Правил.</w:t>
      </w:r>
    </w:p>
    <w:bookmarkEnd w:id="1577"/>
    <w:bookmarkStart w:name="637603033" w:id="15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336. Границы зоны с данной СЗ корректировываются с учетом розы ветров по формуле:</w:t>
      </w:r>
    </w:p>
    <w:bookmarkEnd w:id="1578"/>
    <w:bookmarkStart w:name="637603034" w:id="1579"/>
    <w:p>
      <w:pPr>
        <w:spacing w:before="120" w:after="120" w:line="240"/>
        <w:ind w:left="0"/>
        <w:jc w:val="center"/>
      </w:pPr>
      <w:r>
        <w:drawing>
          <wp:inline distT="0" distB="0" distL="0" distR="0">
            <wp:extent cx="762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2000" cy="508000"/>
                    </a:xfrm>
                    <a:prstGeom prst="rect">
                      <a:avLst/>
                    </a:prstGeom>
                  </pic:spPr>
                </pic:pic>
              </a:graphicData>
            </a:graphic>
          </wp:inline>
        </w:drawing>
      </w:r>
      <w:r>
        <w:rPr>
          <w:rFonts w:hint="default" w:ascii="Times New Roman" w:hAnsi="Times New Roman"/>
          <w:b w:val="false"/>
          <w:i w:val="false"/>
          <w:color w:val="000000"/>
          <w:sz w:val="24"/>
        </w:rPr>
        <w:t xml:space="preserve"> ,</w:t>
      </w:r>
    </w:p>
    <w:bookmarkEnd w:id="1579"/>
    <w:bookmarkStart w:name="637603035" w:id="1580"/>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где S - расстояние от границы источника загрязнения до границы района с данной СЗ, скорректированное с учетом розы ветров, м;</w:t>
      </w:r>
    </w:p>
    <w:bookmarkEnd w:id="1580"/>
    <w:bookmarkStart w:name="637603036" w:id="1581"/>
    <w:p>
      <w:pPr>
        <w:spacing w:before="120" w:after="120" w:line="240"/>
        <w:ind w:left="0"/>
        <w:jc w:val="both"/>
      </w:pPr>
      <w:r>
        <w:rPr>
          <w:rFonts w:hint="default" w:ascii="Times New Roman" w:hAnsi="Times New Roman"/>
          <w:b w:val="false"/>
          <w:i w:val="false"/>
          <w:color w:val="000000"/>
          <w:sz w:val="24"/>
        </w:rPr>
        <w:t>S</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 нормированное расстояние от границы источника загрязнения до границы района с данной СЗ при круговой розе ветров, м;</w:t>
      </w:r>
    </w:p>
    <w:bookmarkEnd w:id="1581"/>
    <w:bookmarkStart w:name="637603037" w:id="15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W — среднегодовая повторяемость ветров рассматриваемого румба, %;</w:t>
      </w:r>
    </w:p>
    <w:bookmarkEnd w:id="1582"/>
    <w:bookmarkStart w:name="637603038" w:id="1583"/>
    <w:p>
      <w:pPr>
        <w:spacing w:before="120" w:after="120" w:line="240"/>
        <w:ind w:left="0"/>
        <w:jc w:val="both"/>
      </w:pPr>
      <w:r>
        <w:rPr>
          <w:rFonts w:hint="default" w:ascii="Times New Roman" w:hAnsi="Times New Roman"/>
          <w:b w:val="false"/>
          <w:i w:val="false"/>
          <w:color w:val="000000"/>
          <w:sz w:val="24"/>
        </w:rPr>
        <w:t>W</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 повторяемость ветров одного румба при круговой розе ветров, %.</w:t>
      </w:r>
    </w:p>
    <w:bookmarkEnd w:id="1583"/>
    <w:bookmarkStart w:name="637603039" w:id="1584"/>
    <w:p>
      <w:pPr>
        <w:spacing w:before="120" w:after="120" w:line="240"/>
        <w:ind w:left="0"/>
        <w:jc w:val="both"/>
      </w:pPr>
      <w:r>
        <w:rPr>
          <w:rFonts w:hint="default" w:ascii="Times New Roman" w:hAnsi="Times New Roman"/>
          <w:b w:val="false"/>
          <w:i w:val="false"/>
          <w:color w:val="000000"/>
          <w:sz w:val="24"/>
        </w:rPr>
        <w:t>Значения S/S</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должны ограничиваться пределами 0,5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S/S</w:t>
      </w:r>
      <w:r>
        <w:rPr>
          <w:rFonts w:hint="default" w:ascii="Times New Roman" w:hAnsi="Times New Roman"/>
          <w:b w:val="false"/>
          <w:i w:val="false"/>
          <w:color w:val="000000"/>
          <w:vertAlign w:val="subscript"/>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u w:val="single"/>
        </w:rPr>
        <w:t>&lt;</w:t>
      </w:r>
      <w:r>
        <w:rPr>
          <w:rFonts w:hint="default" w:ascii="Times New Roman" w:hAnsi="Times New Roman"/>
          <w:b w:val="false"/>
          <w:i w:val="false"/>
          <w:color w:val="000000"/>
          <w:sz w:val="24"/>
        </w:rPr>
        <w:t xml:space="preserve"> 2.</w:t>
      </w:r>
    </w:p>
    <w:bookmarkEnd w:id="1584"/>
    <w:bookmarkStart w:name="637603040" w:id="15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337. Степень загрязнения вблизи отвалов пылящих материалов, складских зданий и сооружений, канализационно-очистных сооружений определяются по таблице 113 приложения к настоящим Правилам.</w:t>
      </w:r>
    </w:p>
    <w:bookmarkEnd w:id="1585"/>
    <w:bookmarkStart w:name="637603041" w:id="15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338. Степень загрязнения вблизи автодорог с интенсивным использованием в зимнее время химических противогололедных средств определяется по таблице 114 приложения к настоящим Правилам.</w:t>
      </w:r>
    </w:p>
    <w:bookmarkEnd w:id="1586"/>
    <w:bookmarkStart w:name="637603042" w:id="15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339. Степень загрязнения в прибрежной зоне морей, соленых озер и водоемов должна определяться по таблице 115 приложения к настоящим Правилам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принимается на одну ступень выше, чем в таблице 115 приложения к настоящим Правилам для зоны до 0,1 км.</w:t>
      </w:r>
    </w:p>
    <w:bookmarkEnd w:id="1587"/>
    <w:bookmarkStart w:name="637603043" w:id="15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340.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таблице 115 приложения к настоящим Правилам, увеличивается в 3 раза.</w:t>
      </w:r>
    </w:p>
    <w:bookmarkEnd w:id="1588"/>
    <w:bookmarkStart w:name="637603044" w:id="1589"/>
    <w:p>
      <w:pPr>
        <w:spacing w:before="120" w:after="120" w:line="240"/>
        <w:ind w:left="0"/>
        <w:jc w:val="both"/>
      </w:pPr>
      <w:r>
        <w:rPr>
          <w:rFonts w:hint="default" w:ascii="Times New Roman" w:hAnsi="Times New Roman"/>
          <w:b w:val="false"/>
          <w:i w:val="false"/>
          <w:color w:val="000000"/>
          <w:sz w:val="24"/>
        </w:rPr>
        <w:t>Для водоемов площадью 1000-10000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СЗ допускается снижать на одну ступень по сравнению с данными таблицы 115 приложения к настоящим Правилам.</w:t>
      </w:r>
    </w:p>
    <w:bookmarkEnd w:id="1589"/>
    <w:bookmarkStart w:name="637603045" w:id="15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Степень загрязнения вблизи градирен или брызгальных бассейнов должна определяться по таблице 116 приложения к настоящим Правилам.</w:t>
      </w:r>
    </w:p>
    <w:bookmarkEnd w:id="1590"/>
    <w:bookmarkStart w:name="637603046" w:id="15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341. При удельной проводимости циркуляционной воды менее 1000 мкСм/см и по таблице 117 приложения к настоящим Правилам при удельной проводимости от 1000 до 3000 мкСм/см.</w:t>
      </w:r>
    </w:p>
    <w:bookmarkEnd w:id="1591"/>
    <w:bookmarkStart w:name="637603047" w:id="15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342. Расчетная СЗ в зоне наложения загрязнений от двух независимых источников, определенную с учетом розы ветров по пункту 336 настоящих Правил, определяется по таблице 118 приложения независимо от вида промышленного или природного загрязнения.</w:t>
      </w:r>
    </w:p>
    <w:bookmarkEnd w:id="1592"/>
    <w:bookmarkStart w:name="637603048" w:id="1593"/>
    <w:p>
      <w:pPr>
        <w:spacing w:before="120" w:after="120" w:line="240"/>
        <w:ind w:left="0"/>
        <w:jc w:val="center"/>
      </w:pPr>
      <w:r>
        <w:rPr>
          <w:rFonts w:hint="default" w:ascii="Times New Roman" w:hAnsi="Times New Roman"/>
          <w:b/>
          <w:i w:val="false"/>
          <w:color w:val="000000"/>
          <w:sz w:val="24"/>
        </w:rPr>
        <w:t>Параграф 6. Коэффициенты использования основных типов изоляторов и изоляционных конструкций (стеклянных и фарфоровых)</w:t>
      </w:r>
    </w:p>
    <w:bookmarkEnd w:id="1593"/>
    <w:bookmarkStart w:name="637603049" w:id="15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343. Коэффициенты использования k изоляционных конструкций, составленных из однотипных изоляторов, определяется по формуле:</w:t>
      </w:r>
    </w:p>
    <w:bookmarkEnd w:id="1594"/>
    <w:bookmarkStart w:name="637603050" w:id="1595"/>
    <w:p>
      <w:pPr>
        <w:spacing w:before="120" w:after="120" w:line="240"/>
        <w:ind w:left="0"/>
        <w:jc w:val="center"/>
      </w:pPr>
      <w:r>
        <w:rPr>
          <w:rFonts w:hint="default" w:ascii="Times New Roman" w:hAnsi="Times New Roman"/>
          <w:b w:val="false"/>
          <w:i w:val="false"/>
          <w:color w:val="000000"/>
          <w:sz w:val="24"/>
        </w:rPr>
        <w:t>k =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х 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w:t>
      </w:r>
    </w:p>
    <w:bookmarkEnd w:id="1595"/>
    <w:bookmarkStart w:name="637603051" w:id="1596"/>
    <w:p>
      <w:pPr>
        <w:spacing w:before="120" w:after="120" w:line="240"/>
        <w:ind w:left="0"/>
        <w:jc w:val="both"/>
      </w:pPr>
      <w:r>
        <w:rPr>
          <w:b w:val="false"/>
          <w:i w:val="false"/>
          <w:color w:val="000000"/>
          <w:sz w:val="24"/>
        </w:rPr>
        <w:t> </w:t>
      </w:r>
      <w:r>
        <w:br/>
      </w:r>
      <w:r>
        <w:rPr>
          <w:b w:val="false"/>
          <w:i w:val="false"/>
          <w:color w:val="000000"/>
          <w:sz w:val="24"/>
        </w:rPr>
        <w:t>
 где k</w:t>
      </w:r>
      <w:r>
        <w:rPr>
          <w:b w:val="false"/>
          <w:i w:val="false"/>
          <w:color w:val="000000"/>
          <w:vertAlign w:val="subscript"/>
        </w:rPr>
        <w:t>и</w:t>
      </w:r>
      <w:r>
        <w:rPr>
          <w:b w:val="false"/>
          <w:i w:val="false"/>
          <w:color w:val="000000"/>
          <w:sz w:val="24"/>
        </w:rPr>
        <w:t xml:space="preserve"> - коэффициент использования изолятора;</w:t>
      </w:r>
    </w:p>
    <w:bookmarkEnd w:id="1596"/>
    <w:bookmarkStart w:name="637603052" w:id="1597"/>
    <w:p>
      <w:pPr>
        <w:spacing w:before="120" w:after="120" w:line="240"/>
        <w:ind w:left="0"/>
        <w:jc w:val="both"/>
      </w:pPr>
      <w:r>
        <w:rPr>
          <w:rFonts w:hint="default" w:ascii="Times New Roman" w:hAnsi="Times New Roman"/>
          <w:b w:val="false"/>
          <w:i w:val="false"/>
          <w:color w:val="000000"/>
          <w:sz w:val="24"/>
        </w:rPr>
        <w:t>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 коэффициент использования составной конструкции с параллельными или последовательно-параллельными ветвями.</w:t>
      </w:r>
    </w:p>
    <w:bookmarkEnd w:id="1597"/>
    <w:bookmarkStart w:name="637603053" w:id="1598"/>
    <w:p>
      <w:pPr>
        <w:spacing w:before="120" w:after="120" w:line="240"/>
        <w:ind w:left="0"/>
        <w:jc w:val="both"/>
      </w:pPr>
      <w:r>
        <w:rPr>
          <w:rFonts w:hint="default" w:ascii="Times New Roman" w:hAnsi="Times New Roman"/>
          <w:b w:val="false"/>
          <w:i w:val="false"/>
          <w:color w:val="000000"/>
          <w:sz w:val="24"/>
        </w:rPr>
        <w:t>344. Коэффициенты использования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подвесных тарельчатых изоляторов со слабо развитой нижней поверхностью изоляционной детали определяются по таблице 119 приложения к настоящим Правилам в зависимости от отношения длины пути утечки изолятора L</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к диаметру его тарелки D.</w:t>
      </w:r>
    </w:p>
    <w:bookmarkEnd w:id="1598"/>
    <w:bookmarkStart w:name="637603054" w:id="1599"/>
    <w:p>
      <w:pPr>
        <w:spacing w:before="120" w:after="120" w:line="240"/>
        <w:ind w:left="0"/>
        <w:jc w:val="both"/>
      </w:pPr>
      <w:r>
        <w:rPr>
          <w:rFonts w:hint="default" w:ascii="Times New Roman" w:hAnsi="Times New Roman"/>
          <w:b w:val="false"/>
          <w:i w:val="false"/>
          <w:color w:val="000000"/>
          <w:sz w:val="24"/>
        </w:rPr>
        <w:t>345. Коэффициенты использования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подвесных тарельчатых изоляторов специального исполнения с сильно развитой поверхностью определяются по таблице 120 приложения к настоящим Правилам.</w:t>
      </w:r>
    </w:p>
    <w:bookmarkEnd w:id="1599"/>
    <w:bookmarkStart w:name="637603055" w:id="1600"/>
    <w:p>
      <w:pPr>
        <w:spacing w:before="120" w:after="120" w:line="240"/>
        <w:ind w:left="0"/>
        <w:jc w:val="both"/>
      </w:pPr>
      <w:r>
        <w:rPr>
          <w:rFonts w:hint="default" w:ascii="Times New Roman" w:hAnsi="Times New Roman"/>
          <w:b w:val="false"/>
          <w:i w:val="false"/>
          <w:color w:val="000000"/>
          <w:sz w:val="24"/>
        </w:rPr>
        <w:t>346. Коэффициенты использования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штыревых изоляторов (линейных, опорных) со слабо развитой поверхностью должны приниматься равными 1,0, с сильно развитой поверхностью - 1,1.</w:t>
      </w:r>
    </w:p>
    <w:bookmarkEnd w:id="1600"/>
    <w:bookmarkStart w:name="637603056" w:id="1601"/>
    <w:p>
      <w:pPr>
        <w:spacing w:before="120" w:after="120" w:line="240"/>
        <w:ind w:left="0"/>
        <w:jc w:val="both"/>
      </w:pPr>
      <w:r>
        <w:rPr>
          <w:rFonts w:hint="default" w:ascii="Times New Roman" w:hAnsi="Times New Roman"/>
          <w:b w:val="false"/>
          <w:i w:val="false"/>
          <w:color w:val="000000"/>
          <w:sz w:val="24"/>
        </w:rPr>
        <w:t>347. Коэффициенты использования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определяются по таблице 121 приложения к настоящим Правилам в зависимости от отношения длины пути утечки изолятора или изоляционной конструкции L</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к длине их изоляционной части h.</w:t>
      </w:r>
    </w:p>
    <w:bookmarkEnd w:id="1601"/>
    <w:bookmarkStart w:name="637603057" w:id="1602"/>
    <w:p>
      <w:pPr>
        <w:spacing w:before="120" w:after="120" w:line="240"/>
        <w:ind w:left="0"/>
        <w:jc w:val="both"/>
      </w:pPr>
      <w:r>
        <w:rPr>
          <w:rFonts w:hint="default" w:ascii="Times New Roman" w:hAnsi="Times New Roman"/>
          <w:b w:val="false"/>
          <w:i w:val="false"/>
          <w:color w:val="000000"/>
          <w:sz w:val="24"/>
        </w:rPr>
        <w:t>348. Коэффициенты использования 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одноцепных гирлянд и одиночных опорных колонок, составленных из однотипных изоляторов, принимаются равными 1,0.</w:t>
      </w:r>
    </w:p>
    <w:bookmarkEnd w:id="1602"/>
    <w:bookmarkStart w:name="637603058" w:id="1603"/>
    <w:p>
      <w:pPr>
        <w:spacing w:before="120" w:after="120" w:line="240"/>
        <w:ind w:left="0"/>
        <w:jc w:val="both"/>
      </w:pPr>
      <w:r>
        <w:rPr>
          <w:rFonts w:hint="default" w:ascii="Times New Roman" w:hAnsi="Times New Roman"/>
          <w:b w:val="false"/>
          <w:i w:val="false"/>
          <w:color w:val="000000"/>
          <w:sz w:val="24"/>
        </w:rPr>
        <w:t>349. Коэффициенты использования 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определяются по таблице 122 приложения к настоящим Правилам.</w:t>
      </w:r>
    </w:p>
    <w:bookmarkEnd w:id="1603"/>
    <w:bookmarkStart w:name="637603059" w:id="1604"/>
    <w:p>
      <w:pPr>
        <w:spacing w:before="120" w:after="120" w:line="240"/>
        <w:ind w:left="0"/>
        <w:jc w:val="both"/>
      </w:pPr>
      <w:r>
        <w:rPr>
          <w:rFonts w:hint="default" w:ascii="Times New Roman" w:hAnsi="Times New Roman"/>
          <w:b w:val="false"/>
          <w:i w:val="false"/>
          <w:color w:val="000000"/>
          <w:sz w:val="24"/>
        </w:rPr>
        <w:t>350. Коэффициенты использования 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Л-образных и V-образных гирлянд с одноцепными ветвями принимаются равными 1,0.</w:t>
      </w:r>
    </w:p>
    <w:bookmarkEnd w:id="1604"/>
    <w:bookmarkStart w:name="637603060" w:id="1605"/>
    <w:p>
      <w:pPr>
        <w:spacing w:before="120" w:after="120" w:line="240"/>
        <w:ind w:left="0"/>
        <w:jc w:val="both"/>
      </w:pPr>
      <w:r>
        <w:rPr>
          <w:rFonts w:hint="default" w:ascii="Times New Roman" w:hAnsi="Times New Roman"/>
          <w:b w:val="false"/>
          <w:i w:val="false"/>
          <w:color w:val="000000"/>
          <w:sz w:val="24"/>
        </w:rPr>
        <w:t>351. Коэффициенты использования k</w:t>
      </w:r>
      <w:r>
        <w:rPr>
          <w:rFonts w:hint="default" w:ascii="Times New Roman" w:hAnsi="Times New Roman"/>
          <w:b w:val="false"/>
          <w:i w:val="false"/>
          <w:color w:val="000000"/>
          <w:vertAlign w:val="subscript"/>
        </w:rPr>
        <w:t>к</w:t>
      </w:r>
      <w:r>
        <w:rPr>
          <w:rFonts w:hint="default" w:ascii="Times New Roman" w:hAnsi="Times New Roman"/>
          <w:b w:val="false"/>
          <w:i w:val="false"/>
          <w:color w:val="000000"/>
          <w:sz w:val="24"/>
        </w:rPr>
        <w:t xml:space="preserve"> составных конструкций с последовательно-параллельными ветвями, составленными из изоляторов одного типа (гирлянд типа Y или </w:t>
      </w:r>
      <w:r>
        <w:drawing>
          <wp:inline distT="0" distB="0" distL="0" distR="0">
            <wp:extent cx="368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68300" cy="406400"/>
                    </a:xfrm>
                    <a:prstGeom prst="rect">
                      <a:avLst/>
                    </a:prstGeom>
                  </pic:spPr>
                </pic:pic>
              </a:graphicData>
            </a:graphic>
          </wp:inline>
        </w:drawing>
      </w:r>
      <w:r>
        <w:rPr>
          <w:rFonts w:hint="default" w:ascii="Times New Roman" w:hAnsi="Times New Roman"/>
          <w:b w:val="false"/>
          <w:i w:val="false"/>
          <w:color w:val="000000"/>
          <w:sz w:val="24"/>
        </w:rPr>
        <w:t xml:space="preserve"> , опорных колонок с различным числом параллельных ветвей по высоте, а также подстанционных аппаратов с растяжками), принимаются равными 1,1.</w:t>
      </w:r>
    </w:p>
    <w:bookmarkEnd w:id="1605"/>
    <w:bookmarkStart w:name="637603061" w:id="1606"/>
    <w:p>
      <w:pPr>
        <w:spacing w:before="120" w:after="120" w:line="240"/>
        <w:ind w:left="0"/>
        <w:jc w:val="both"/>
      </w:pPr>
      <w:r>
        <w:rPr>
          <w:rFonts w:hint="default" w:ascii="Times New Roman" w:hAnsi="Times New Roman"/>
          <w:b w:val="false"/>
          <w:i w:val="false"/>
          <w:color w:val="000000"/>
          <w:sz w:val="24"/>
        </w:rPr>
        <w:t>352. Коэффициенты использования k</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одноцепных гирлянд и одиночных опорных колонок, составленных из разнотипных изоляторов с коэффициентами использования k</w:t>
      </w:r>
      <w:r>
        <w:rPr>
          <w:rFonts w:hint="default" w:ascii="Times New Roman" w:hAnsi="Times New Roman"/>
          <w:b w:val="false"/>
          <w:i w:val="false"/>
          <w:color w:val="000000"/>
          <w:vertAlign w:val="subscript"/>
        </w:rPr>
        <w:t>и1</w:t>
      </w:r>
      <w:r>
        <w:rPr>
          <w:rFonts w:hint="default" w:ascii="Times New Roman" w:hAnsi="Times New Roman"/>
          <w:b w:val="false"/>
          <w:i w:val="false"/>
          <w:color w:val="000000"/>
          <w:sz w:val="24"/>
        </w:rPr>
        <w:t xml:space="preserve"> и k</w:t>
      </w:r>
      <w:r>
        <w:rPr>
          <w:rFonts w:hint="default" w:ascii="Times New Roman" w:hAnsi="Times New Roman"/>
          <w:b w:val="false"/>
          <w:i w:val="false"/>
          <w:color w:val="000000"/>
          <w:vertAlign w:val="subscript"/>
        </w:rPr>
        <w:t>и2</w:t>
      </w:r>
      <w:r>
        <w:rPr>
          <w:rFonts w:hint="default" w:ascii="Times New Roman" w:hAnsi="Times New Roman"/>
          <w:b w:val="false"/>
          <w:i w:val="false"/>
          <w:color w:val="000000"/>
          <w:sz w:val="24"/>
        </w:rPr>
        <w:t xml:space="preserve"> , определяться по формуле:</w:t>
      </w:r>
    </w:p>
    <w:bookmarkEnd w:id="1606"/>
    <w:bookmarkStart w:name="637603062" w:id="1607"/>
    <w:p>
      <w:pPr>
        <w:spacing w:before="120" w:after="120" w:line="240"/>
        <w:ind w:left="0"/>
        <w:jc w:val="center"/>
      </w:pPr>
      <w:r>
        <w:drawing>
          <wp:inline distT="0" distB="0" distL="0" distR="0">
            <wp:extent cx="1054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054100" cy="723900"/>
                    </a:xfrm>
                    <a:prstGeom prst="rect">
                      <a:avLst/>
                    </a:prstGeom>
                  </pic:spPr>
                </pic:pic>
              </a:graphicData>
            </a:graphic>
          </wp:inline>
        </w:drawing>
      </w:r>
    </w:p>
    <w:bookmarkEnd w:id="1607"/>
    <w:bookmarkStart w:name="637603063" w:id="1608"/>
    <w:p>
      <w:pPr>
        <w:spacing w:before="120" w:after="120" w:line="240"/>
        <w:ind w:left="0"/>
        <w:jc w:val="both"/>
      </w:pPr>
      <w:r>
        <w:rPr>
          <w:b w:val="false"/>
          <w:i w:val="false"/>
          <w:color w:val="000000"/>
          <w:sz w:val="24"/>
        </w:rPr>
        <w:t> </w:t>
      </w:r>
      <w:r>
        <w:br/>
      </w:r>
      <w:r>
        <w:rPr>
          <w:b w:val="false"/>
          <w:i w:val="false"/>
          <w:color w:val="000000"/>
          <w:sz w:val="24"/>
        </w:rPr>
        <w:t>
 где L</w:t>
      </w:r>
      <w:r>
        <w:rPr>
          <w:b w:val="false"/>
          <w:i w:val="false"/>
          <w:color w:val="000000"/>
          <w:vertAlign w:val="subscript"/>
        </w:rPr>
        <w:t>1</w:t>
      </w:r>
      <w:r>
        <w:rPr>
          <w:b w:val="false"/>
          <w:i w:val="false"/>
          <w:color w:val="000000"/>
          <w:sz w:val="24"/>
        </w:rPr>
        <w:t xml:space="preserve"> и L</w:t>
      </w:r>
      <w:r>
        <w:rPr>
          <w:b w:val="false"/>
          <w:i w:val="false"/>
          <w:color w:val="000000"/>
          <w:vertAlign w:val="subscript"/>
        </w:rPr>
        <w:t>2</w:t>
      </w:r>
      <w:r>
        <w:rPr>
          <w:b w:val="false"/>
          <w:i w:val="false"/>
          <w:color w:val="000000"/>
          <w:sz w:val="24"/>
        </w:rPr>
        <w:t xml:space="preserve"> - длина пути утечки участков конструкции из изоляторов соответствующего типа. Аналогичным образом определяться величина k</w:t>
      </w:r>
      <w:r>
        <w:rPr>
          <w:b w:val="false"/>
          <w:i w:val="false"/>
          <w:color w:val="000000"/>
          <w:vertAlign w:val="subscript"/>
        </w:rPr>
        <w:t>и</w:t>
      </w:r>
      <w:r>
        <w:rPr>
          <w:b w:val="false"/>
          <w:i w:val="false"/>
          <w:color w:val="000000"/>
          <w:sz w:val="24"/>
        </w:rPr>
        <w:t xml:space="preserve"> для конструкций указанного вида при числе разных типов изоляторов, большем двух.</w:t>
      </w:r>
    </w:p>
    <w:bookmarkEnd w:id="1608"/>
    <w:bookmarkStart w:name="637603064" w:id="16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353. Конфигурация подвесных изоляторов для районов с различными видами загрязнений выбирается по таблице 123 приложения к настоящим Правилам.</w:t>
      </w:r>
    </w:p>
    <w:bookmarkEnd w:id="1609"/>
    <w:bookmarkStart w:name="637603065" w:id="1610"/>
    <w:p>
      <w:pPr>
        <w:spacing w:before="120" w:after="120" w:line="240"/>
        <w:ind w:left="0"/>
        <w:jc w:val="both"/>
      </w:pPr>
      <w:r>
        <w:rPr>
          <w:rFonts w:hint="default" w:ascii="Times New Roman" w:hAnsi="Times New Roman"/>
          <w:b/>
          <w:i w:val="false"/>
          <w:color w:val="000000"/>
          <w:sz w:val="24"/>
        </w:rPr>
        <w:t>10. Кабельные линии напряжением до 220 кВ</w:t>
      </w:r>
    </w:p>
    <w:bookmarkEnd w:id="1610"/>
    <w:bookmarkStart w:name="637603066" w:id="1611"/>
    <w:p>
      <w:pPr>
        <w:spacing w:before="120" w:after="120" w:line="240"/>
        <w:ind w:left="0"/>
        <w:jc w:val="center"/>
      </w:pPr>
      <w:r>
        <w:rPr>
          <w:rFonts w:hint="default" w:ascii="Times New Roman" w:hAnsi="Times New Roman"/>
          <w:b/>
          <w:i w:val="false"/>
          <w:color w:val="000000"/>
          <w:sz w:val="24"/>
        </w:rPr>
        <w:t>Параграф 1. Общие положения</w:t>
      </w:r>
    </w:p>
    <w:bookmarkEnd w:id="1611"/>
    <w:bookmarkStart w:name="637603067" w:id="16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354.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w:t>
      </w:r>
    </w:p>
    <w:bookmarkEnd w:id="1612"/>
    <w:bookmarkStart w:name="637603068" w:id="16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355. При выборе трассы кабельной линии требуется избегать участков с грунтами, агрессивными по отношению к металлическим оболочкам кабелей.</w:t>
      </w:r>
    </w:p>
    <w:bookmarkEnd w:id="1613"/>
    <w:bookmarkStart w:name="637603069" w:id="16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356. Над подземными кабельными линиями в соответствии с законодательством Республики Казахстан в области электроэнергетики должны устанавливаться охранные зоны в размере площадки над кабелями:</w:t>
      </w:r>
    </w:p>
    <w:bookmarkEnd w:id="1614"/>
    <w:bookmarkStart w:name="637603070" w:id="16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линий выше 1 кВ по 1 м с каждой стороны от крайних кабелей;</w:t>
      </w:r>
    </w:p>
    <w:bookmarkEnd w:id="1615"/>
    <w:bookmarkStart w:name="637603071" w:id="16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w:t>
      </w:r>
    </w:p>
    <w:bookmarkEnd w:id="1616"/>
    <w:bookmarkStart w:name="637603072" w:id="16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357. Для подводных 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100 м от крайних кабелей.</w:t>
      </w:r>
    </w:p>
    <w:bookmarkEnd w:id="1617"/>
    <w:bookmarkStart w:name="637603073" w:id="16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358.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необходимо избегать перекрещиваний их между собой, трубопроводами.</w:t>
      </w:r>
    </w:p>
    <w:bookmarkEnd w:id="1618"/>
    <w:bookmarkStart w:name="637603074" w:id="1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359. 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bookmarkEnd w:id="1619"/>
    <w:bookmarkStart w:name="637603075" w:id="16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360.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bookmarkEnd w:id="1620"/>
    <w:bookmarkStart w:name="637603076" w:id="16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не допускается;</w:t>
      </w:r>
    </w:p>
    <w:bookmarkEnd w:id="1621"/>
    <w:bookmarkStart w:name="637603077" w:id="16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кабели, проложенные горизонтально по конструкциям, стенам, перекрытиям, должны быть жестко закреплены в конечных точках, непосредственно у концевых заделок, с обеих сторон изгибов и у соединительных и стопорных муфт;</w:t>
      </w:r>
    </w:p>
    <w:bookmarkEnd w:id="1622"/>
    <w:bookmarkStart w:name="637603078" w:id="16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p>
    <w:bookmarkEnd w:id="1623"/>
    <w:bookmarkStart w:name="637603079" w:id="16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bookmarkEnd w:id="1624"/>
    <w:bookmarkStart w:name="637603080" w:id="16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bookmarkEnd w:id="1625"/>
    <w:bookmarkStart w:name="637603081" w:id="16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при прокладке кабелей рядом с другими кабелями, находящимися в эксплуатации должны быть приняты меры для предотвращения повреждения последних;</w:t>
      </w:r>
    </w:p>
    <w:bookmarkEnd w:id="1626"/>
    <w:bookmarkStart w:name="637603082" w:id="16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p>
    <w:bookmarkEnd w:id="1627"/>
    <w:bookmarkStart w:name="637603083" w:id="16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361. Защита кабельных линий от блуждающих токов и почвенной коррозии должна удовлетворять требованиям настоящих Правил.</w:t>
      </w:r>
    </w:p>
    <w:bookmarkEnd w:id="1628"/>
    <w:bookmarkStart w:name="637603084" w:id="16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362.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p>
    <w:bookmarkEnd w:id="1629"/>
    <w:bookmarkStart w:name="637603085" w:id="16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363. Кабельные сооружения и конструкции, на которых укладываются кабели, должны выполняться из несгораемых материалов.</w:t>
      </w:r>
    </w:p>
    <w:bookmarkEnd w:id="1630"/>
    <w:bookmarkStart w:name="637603086" w:id="16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364. Не допускается выполнение в кабельных сооружениях каких-либо временных устройств, хранение в них материалов и оборудования.</w:t>
      </w:r>
    </w:p>
    <w:bookmarkEnd w:id="1631"/>
    <w:bookmarkStart w:name="637603087" w:id="16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365.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bookmarkEnd w:id="1632"/>
    <w:bookmarkStart w:name="637603088" w:id="16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366.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w:t>
      </w:r>
    </w:p>
    <w:bookmarkEnd w:id="1633"/>
    <w:bookmarkStart w:name="637603089" w:id="16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367.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p>
    <w:bookmarkEnd w:id="1634"/>
    <w:bookmarkStart w:name="637603090" w:id="16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368.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p>
    <w:bookmarkEnd w:id="1635"/>
    <w:bookmarkStart w:name="637603091" w:id="16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369. Усилия тяжения при прокладке кабелей и протягивании их в трубах определяются механическими напряжениями, допустимыми для жил и оболочек.</w:t>
      </w:r>
    </w:p>
    <w:bookmarkEnd w:id="1636"/>
    <w:bookmarkStart w:name="637603092" w:id="16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370.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w:t>
      </w:r>
    </w:p>
    <w:bookmarkEnd w:id="1637"/>
    <w:bookmarkStart w:name="637603093" w:id="16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371.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или даты монтажа.</w:t>
      </w:r>
    </w:p>
    <w:bookmarkEnd w:id="1638"/>
    <w:bookmarkStart w:name="637603094" w:id="16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372.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50 м.</w:t>
      </w:r>
    </w:p>
    <w:bookmarkEnd w:id="1639"/>
    <w:bookmarkStart w:name="637603095" w:id="16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373. Охранные зоны кабельных линий, проложенных в земле в незастроенной местности, должны быть обозначены информационными знаками.</w:t>
      </w:r>
    </w:p>
    <w:bookmarkEnd w:id="1640"/>
    <w:bookmarkStart w:name="637603096" w:id="16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374. Информационные знаки устанавливаются не реже, чем через 500 м, а также в местах изменения направления кабельных линий.</w:t>
      </w:r>
    </w:p>
    <w:bookmarkEnd w:id="1641"/>
    <w:bookmarkStart w:name="637603097" w:id="16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375. На информационных знаках должны быть указаны ширина охранных зон кабельных линий и номера телефонов владельцев кабельных линий.</w:t>
      </w:r>
    </w:p>
    <w:bookmarkEnd w:id="1642"/>
    <w:bookmarkStart w:name="637603098" w:id="1643"/>
    <w:p>
      <w:pPr>
        <w:spacing w:before="120" w:after="120" w:line="240"/>
        <w:ind w:left="0"/>
        <w:jc w:val="center"/>
      </w:pPr>
      <w:r>
        <w:rPr>
          <w:rFonts w:hint="default" w:ascii="Times New Roman" w:hAnsi="Times New Roman"/>
          <w:b/>
          <w:i w:val="false"/>
          <w:color w:val="000000"/>
          <w:sz w:val="24"/>
        </w:rPr>
        <w:t>Параграф 2. Выбор способов прокладки</w:t>
      </w:r>
    </w:p>
    <w:bookmarkEnd w:id="1643"/>
    <w:bookmarkStart w:name="637603099" w:id="16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376. При выборе способов прокладки силовых кабельных линий до 35 кВ необходимо руководствоваться следующим:</w:t>
      </w:r>
    </w:p>
    <w:bookmarkEnd w:id="1644"/>
    <w:bookmarkStart w:name="637603100" w:id="16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прокладке кабелей в земле в одной траншее прокладывается не более шести силовых кабелей. При большем количестве кабелей их прокладывают в отдельных траншеях с расстоянием между группами кабелей не менее 0,5 м или в каналах, туннелях, по эстакадам и в галереях;</w:t>
      </w:r>
    </w:p>
    <w:bookmarkEnd w:id="1645"/>
    <w:bookmarkStart w:name="637603101" w:id="16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прокладка кабелей в туннелях, по эстакадам и в галереях требуется при количестве силовых кабелей, идущих в одном направлении более 20;</w:t>
      </w:r>
    </w:p>
    <w:bookmarkEnd w:id="1646"/>
    <w:bookmarkStart w:name="637603102" w:id="16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w:t>
      </w:r>
    </w:p>
    <w:bookmarkEnd w:id="1647"/>
    <w:bookmarkStart w:name="637603103" w:id="16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bookmarkEnd w:id="1648"/>
    <w:bookmarkStart w:name="637603104" w:id="16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377.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p>
    <w:bookmarkEnd w:id="1649"/>
    <w:bookmarkStart w:name="637603105" w:id="16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378.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bookmarkEnd w:id="1650"/>
    <w:bookmarkStart w:name="637603106" w:id="16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379.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bookmarkEnd w:id="1651"/>
    <w:bookmarkStart w:name="637603107" w:id="16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380. В городах и поселках одиночные кабельные линии прокладываются в земле (в траншеях) по непроезжей части улиц (под тротуарами), по дворам и техническим полосам в виде газонов.</w:t>
      </w:r>
    </w:p>
    <w:bookmarkEnd w:id="1652"/>
    <w:bookmarkStart w:name="637603108" w:id="16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381. По улицам и площадям, насыщенным подземными коммуникациями, прокладку кабельных линий в количестве 10 и более в потоке производится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bookmarkEnd w:id="1653"/>
    <w:bookmarkStart w:name="637603109" w:id="16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382. Внутри зданий кабельные линии прокладываются непосредственно по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p>
    <w:bookmarkEnd w:id="1654"/>
    <w:bookmarkStart w:name="637603110" w:id="16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383. Маслонаполненные кабели и кабели с пластмассовой изоляцией прокладываются (при любом количестве кабелей) в туннелях и галереях и в земле (в траншеях) способ их прокладки определяется проектом.</w:t>
      </w:r>
    </w:p>
    <w:bookmarkEnd w:id="1655"/>
    <w:bookmarkStart w:name="637603111" w:id="1656"/>
    <w:p>
      <w:pPr>
        <w:spacing w:before="120" w:after="120" w:line="240"/>
        <w:ind w:left="0"/>
        <w:jc w:val="center"/>
      </w:pPr>
      <w:r>
        <w:rPr>
          <w:rFonts w:hint="default" w:ascii="Times New Roman" w:hAnsi="Times New Roman"/>
          <w:b/>
          <w:i w:val="false"/>
          <w:color w:val="000000"/>
          <w:sz w:val="24"/>
        </w:rPr>
        <w:t>Параграф 3. Выбор кабелей</w:t>
      </w:r>
    </w:p>
    <w:bookmarkEnd w:id="1656"/>
    <w:bookmarkStart w:name="637603112" w:id="16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384. Для кабельных линий, прокладываемых по трассам, проходящим в различных грунтах и условиях окружающей среды, выбор конструкций и сечений кабелей производятся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выбираются соответствующие конструкции и сечения кабелей.</w:t>
      </w:r>
    </w:p>
    <w:bookmarkEnd w:id="1657"/>
    <w:bookmarkStart w:name="637603113" w:id="16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385.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w:t>
      </w:r>
    </w:p>
    <w:bookmarkEnd w:id="1658"/>
    <w:bookmarkStart w:name="637603114" w:id="16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386.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p>
    <w:bookmarkEnd w:id="1659"/>
    <w:bookmarkStart w:name="637603115" w:id="16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387.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bookmarkEnd w:id="1660"/>
    <w:bookmarkStart w:name="637603116" w:id="16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388. В кабельных сооружениях и производственных помещениях при отсутствии опасности механических повреждений в эксплуатации прокладывается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bookmarkEnd w:id="1661"/>
    <w:bookmarkStart w:name="637603117" w:id="16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Вне кабельных сооружений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w:t>
      </w:r>
    </w:p>
    <w:bookmarkEnd w:id="1662"/>
    <w:bookmarkStart w:name="637603118" w:id="16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смешанной прокладке (земля – кабельное сооружение или производственное помещение) примененяются те же марок кабелей, что и для прокладки в земле, но без горючих наружных защитных покровов.</w:t>
      </w:r>
    </w:p>
    <w:bookmarkEnd w:id="1663"/>
    <w:bookmarkStart w:name="637603119" w:id="16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389.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bookmarkEnd w:id="1664"/>
    <w:bookmarkStart w:name="637603120" w:id="16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открытой прокладки не допускается применять силовые и контрольные кабели с горючей полиэтиленовой изоляцией.</w:t>
      </w:r>
    </w:p>
    <w:bookmarkEnd w:id="1665"/>
    <w:bookmarkStart w:name="637603121" w:id="16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bookmarkEnd w:id="1666"/>
    <w:bookmarkStart w:name="637603122" w:id="16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в помещениях с агрессивной средой должны применяться кабели, стойкие к воздействию этой среды.</w:t>
      </w:r>
    </w:p>
    <w:bookmarkEnd w:id="1667"/>
    <w:bookmarkStart w:name="637603123" w:id="16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390. Для кабельных линий электростанций, распределительных устройств и подстанций, указанных в пункте 427 настоящих Правил, применяются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p>
    <w:bookmarkEnd w:id="1668"/>
    <w:bookmarkStart w:name="637603124" w:id="16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391. Для кабельных линий, прокладываемых в кабельных блоках и трубах, применяются небронированные кабели в свинцовой усиленной оболочке. На участках блоков и труб, а также ответвлений от них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bookmarkEnd w:id="1669"/>
    <w:bookmarkStart w:name="637603125" w:id="1670"/>
    <w:p>
      <w:pPr>
        <w:spacing w:before="120" w:after="120" w:line="240"/>
        <w:ind w:left="0"/>
        <w:jc w:val="both"/>
      </w:pPr>
      <w:r>
        <w:rPr>
          <w:rFonts w:hint="default" w:ascii="Times New Roman" w:hAnsi="Times New Roman"/>
          <w:b w:val="false"/>
          <w:i w:val="false"/>
          <w:color w:val="000000"/>
          <w:sz w:val="24"/>
        </w:rPr>
        <w:t>392.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а также в зонах, опасных из-за воздействия электрокоррозии, должны применяться кабели со свинцовыми оболочками и усиленными защитными покровами типов Б</w:t>
      </w:r>
      <w:r>
        <w:rPr>
          <w:rFonts w:hint="default" w:ascii="Times New Roman" w:hAnsi="Times New Roman"/>
          <w:b w:val="false"/>
          <w:i w:val="false"/>
          <w:color w:val="000000"/>
          <w:vertAlign w:val="subscript"/>
        </w:rPr>
        <w:t>л</w:t>
      </w:r>
      <w:r>
        <w:rPr>
          <w:rFonts w:hint="default" w:ascii="Times New Roman" w:hAnsi="Times New Roman"/>
          <w:b w:val="false"/>
          <w:i w:val="false"/>
          <w:color w:val="000000"/>
          <w:sz w:val="24"/>
        </w:rPr>
        <w:t xml:space="preserve"> , Б</w:t>
      </w:r>
      <w:r>
        <w:rPr>
          <w:rFonts w:hint="default" w:ascii="Times New Roman" w:hAnsi="Times New Roman"/>
          <w:b w:val="false"/>
          <w:i w:val="false"/>
          <w:color w:val="000000"/>
          <w:vertAlign w:val="subscript"/>
        </w:rPr>
        <w:t>2л</w:t>
      </w:r>
      <w:r>
        <w:rPr>
          <w:rFonts w:hint="default" w:ascii="Times New Roman" w:hAnsi="Times New Roman"/>
          <w:b w:val="false"/>
          <w:i w:val="false"/>
          <w:color w:val="000000"/>
          <w:sz w:val="24"/>
        </w:rPr>
        <w:t xml:space="preserve"> или кабели с алюминиевыми оболочками и особо усиленными защитными покровами типов Б</w:t>
      </w:r>
      <w:r>
        <w:rPr>
          <w:rFonts w:hint="default" w:ascii="Times New Roman" w:hAnsi="Times New Roman"/>
          <w:b w:val="false"/>
          <w:i w:val="false"/>
          <w:color w:val="000000"/>
          <w:vertAlign w:val="subscript"/>
        </w:rPr>
        <w:t>в</w:t>
      </w:r>
      <w:r>
        <w:rPr>
          <w:rFonts w:hint="default" w:ascii="Times New Roman" w:hAnsi="Times New Roman"/>
          <w:b w:val="false"/>
          <w:i w:val="false"/>
          <w:color w:val="000000"/>
          <w:sz w:val="24"/>
        </w:rPr>
        <w:t xml:space="preserve"> , Б</w:t>
      </w:r>
      <w:r>
        <w:rPr>
          <w:rFonts w:hint="default" w:ascii="Times New Roman" w:hAnsi="Times New Roman"/>
          <w:b w:val="false"/>
          <w:i w:val="false"/>
          <w:color w:val="000000"/>
          <w:vertAlign w:val="subscript"/>
        </w:rPr>
        <w:t>п</w:t>
      </w:r>
      <w:r>
        <w:rPr>
          <w:rFonts w:hint="default" w:ascii="Times New Roman" w:hAnsi="Times New Roman"/>
          <w:b w:val="false"/>
          <w:i w:val="false"/>
          <w:color w:val="000000"/>
          <w:sz w:val="24"/>
        </w:rPr>
        <w:t xml:space="preserve"> (в сплошном влагостойком пластмассовом шланге).</w:t>
      </w:r>
    </w:p>
    <w:bookmarkEnd w:id="1670"/>
    <w:bookmarkStart w:name="637603126" w:id="16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393.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p>
    <w:bookmarkEnd w:id="1671"/>
    <w:bookmarkStart w:name="637603127" w:id="16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394.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w:t>
      </w:r>
    </w:p>
    <w:bookmarkEnd w:id="1672"/>
    <w:bookmarkStart w:name="637603128" w:id="16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395. В местах пересечения кабельными линиями ручьев, их пойм и канав должны применяться такие же кабели, как и для прокладки в земле.</w:t>
      </w:r>
    </w:p>
    <w:bookmarkEnd w:id="1673"/>
    <w:bookmarkStart w:name="637603129" w:id="16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396. Для кабельных линий, прокладываемых по железнодорожным мостам, а также по другим мостам с интенсивным движением транспорта, применяются бронированные кабели в алюминиевой оболочке.</w:t>
      </w:r>
    </w:p>
    <w:bookmarkEnd w:id="1674"/>
    <w:bookmarkStart w:name="637603130" w:id="16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397.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w:t>
      </w:r>
    </w:p>
    <w:bookmarkEnd w:id="1675"/>
    <w:bookmarkStart w:name="637603131" w:id="16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398. Для подводных кабельных линий применяются кабели с броней из круглой проволоки, по возможности одной строительной длины. С этой целью разрешается применение одножильных кабелей.</w:t>
      </w:r>
    </w:p>
    <w:bookmarkEnd w:id="1676"/>
    <w:bookmarkStart w:name="637603132" w:id="16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применяется кабель с двойной металлической броней.</w:t>
      </w:r>
    </w:p>
    <w:bookmarkEnd w:id="1677"/>
    <w:bookmarkStart w:name="637603133" w:id="16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bookmarkEnd w:id="1678"/>
    <w:bookmarkStart w:name="637603134" w:id="16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кабельных линий через небольшие несудоходные и несплавные реки шириной (вместе с затопляемой поймой) не более 100 м, с устойчивыми руслом и дном допускается применение кабелей с ленточной броней.</w:t>
      </w:r>
    </w:p>
    <w:bookmarkEnd w:id="1679"/>
    <w:bookmarkStart w:name="637603135" w:id="16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399. Для кабельных маслонаполненных линий и для кабельных линий с пластмассовой изоляцией напряжением 110–220 кВ тип и конструкция кабелей определяются проектом.</w:t>
      </w:r>
    </w:p>
    <w:bookmarkEnd w:id="1680"/>
    <w:bookmarkStart w:name="637603136" w:id="16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400. При прокладке кабельных линий до 35 кВ на вертикальных и наклонных участках трассы с разностью уровней,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w:t>
      </w:r>
    </w:p>
    <w:bookmarkEnd w:id="1681"/>
    <w:bookmarkStart w:name="637603137" w:id="16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bookmarkEnd w:id="1682"/>
    <w:bookmarkStart w:name="637603138" w:id="16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401. В четырехпроводных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четырехпооводных сетях переменного тока (осветительных, силовых и смешанных) с глухозаземленной нейтралью, за исключением установок с взрывоопасной средой и установок, в которых при нормальных условиях эксплуатации ток в нулевом проводе составляет более 75 % допустимого длительного тока фазного провода.</w:t>
      </w:r>
    </w:p>
    <w:bookmarkEnd w:id="1683"/>
    <w:bookmarkStart w:name="637603139" w:id="16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bookmarkEnd w:id="1684"/>
    <w:bookmarkStart w:name="637603140" w:id="16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402.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p>
    <w:bookmarkEnd w:id="1685"/>
    <w:bookmarkStart w:name="637603141" w:id="16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bookmarkEnd w:id="1686"/>
    <w:bookmarkStart w:name="637603142" w:id="1687"/>
    <w:p>
      <w:pPr>
        <w:spacing w:before="120" w:after="120" w:line="240"/>
        <w:ind w:left="0"/>
        <w:jc w:val="center"/>
      </w:pPr>
      <w:r>
        <w:rPr>
          <w:rFonts w:hint="default" w:ascii="Times New Roman" w:hAnsi="Times New Roman"/>
          <w:b/>
          <w:i w:val="false"/>
          <w:color w:val="000000"/>
          <w:sz w:val="24"/>
        </w:rPr>
        <w:t>Параграф 4. Подпитывающие устройства и сигнализация давления масла кабельных маслонаполненных линий</w:t>
      </w:r>
    </w:p>
    <w:bookmarkEnd w:id="1687"/>
    <w:bookmarkStart w:name="637603143" w:id="16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403. Маслоподпитывающая система должна обеспечивать надежную работу линии в любых нормальных и переходных тепловых режимах.</w:t>
      </w:r>
    </w:p>
    <w:bookmarkEnd w:id="1688"/>
    <w:bookmarkStart w:name="637603144" w:id="16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404.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p>
    <w:bookmarkEnd w:id="1689"/>
    <w:bookmarkStart w:name="637603145" w:id="1690"/>
    <w:p>
      <w:pPr>
        <w:spacing w:before="120" w:after="120" w:line="240"/>
        <w:ind w:left="0"/>
        <w:jc w:val="both"/>
      </w:pPr>
      <w:r>
        <w:rPr>
          <w:rFonts w:hint="default" w:ascii="Times New Roman" w:hAnsi="Times New Roman"/>
          <w:b w:val="false"/>
          <w:i w:val="false"/>
          <w:color w:val="000000"/>
          <w:sz w:val="24"/>
        </w:rPr>
        <w:t>405. Подпитывающие баки линий низкого давления размещаются в закрытых помещениях. Небольшое количество подпитывающих баков (5–6) на открытых пунктах питания располагаются в легких металлических ящиках на порталах, опорах (при температуре окружающего воздуха не ниже минус 33</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Подпитывающие баки должны быть снабжены указателями давления масла и защищены от прямого воздействия солнечного излучения.</w:t>
      </w:r>
    </w:p>
    <w:bookmarkEnd w:id="1690"/>
    <w:bookmarkStart w:name="637603146" w:id="1691"/>
    <w:p>
      <w:pPr>
        <w:spacing w:before="120" w:after="120" w:line="240"/>
        <w:ind w:left="0"/>
        <w:jc w:val="both"/>
      </w:pPr>
      <w:r>
        <w:rPr>
          <w:rFonts w:hint="default" w:ascii="Times New Roman" w:hAnsi="Times New Roman"/>
          <w:b w:val="false"/>
          <w:i w:val="false"/>
          <w:color w:val="000000"/>
          <w:sz w:val="24"/>
        </w:rPr>
        <w:t xml:space="preserve">406. Подпитывающие агрегаты линий высокого давления должны быть размещены в закрытых помещениях, имеющих температуру не ниже +10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расположены возможно ближе к месту присоединения к кабельным линиям. Присоединение нескольких подпитывающих агрегатов к линии производится через масляный коллектор.</w:t>
      </w:r>
    </w:p>
    <w:bookmarkEnd w:id="1691"/>
    <w:bookmarkStart w:name="637603147" w:id="16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407. При параллельной прокладке нескольких кабельных маслонаполненных линий высокого давления производится подпитка маслом каждой линии от отдельных подпитывающих агрегатов или устанавливается устройство для автоматического переключения агрегатов на ту или другую линию.</w:t>
      </w:r>
    </w:p>
    <w:bookmarkEnd w:id="1692"/>
    <w:bookmarkStart w:name="637603148" w:id="16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408. Подпитывающие агрегаты обеспечиваются электроэнергией от двух независимых источников питания с обязательным устройством автоматического включения резерва (АВР). Подпитывающие агрегаты должны быть отделены один от другого несгораемыми перегородками с пределом огнестойкости не менее 0,75 часов.</w:t>
      </w:r>
    </w:p>
    <w:bookmarkEnd w:id="1693"/>
    <w:bookmarkStart w:name="637603149" w:id="16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409.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p>
    <w:bookmarkEnd w:id="1694"/>
    <w:bookmarkStart w:name="637603150" w:id="16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410. На каждой секции кабельной маслонаполненной линии низкого давления должно быть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p>
    <w:bookmarkEnd w:id="1695"/>
    <w:bookmarkStart w:name="637603151" w:id="16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411. Подпитывающие пункты на линиях низкого давления должны быть оборудованы телефонной связью с диспетчерскими пунктами (электросети сетевого района).</w:t>
      </w:r>
    </w:p>
    <w:bookmarkEnd w:id="1696"/>
    <w:bookmarkStart w:name="637603152" w:id="16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412.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p>
    <w:bookmarkEnd w:id="1697"/>
    <w:bookmarkStart w:name="637603153" w:id="16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413. Вибрация в помещении щита с приборами для автоматического управления подпитывающим агрегатом не должна превышать допустимых пределов.</w:t>
      </w:r>
    </w:p>
    <w:bookmarkEnd w:id="1698"/>
    <w:bookmarkStart w:name="637603154" w:id="1699"/>
    <w:p>
      <w:pPr>
        <w:spacing w:before="120" w:after="120" w:line="240"/>
        <w:ind w:left="0"/>
        <w:jc w:val="center"/>
      </w:pPr>
      <w:r>
        <w:rPr>
          <w:rFonts w:hint="default" w:ascii="Times New Roman" w:hAnsi="Times New Roman"/>
          <w:b/>
          <w:i w:val="false"/>
          <w:color w:val="000000"/>
          <w:sz w:val="24"/>
        </w:rPr>
        <w:t>Параграф 5. Соединения и заделки кабелей</w:t>
      </w:r>
    </w:p>
    <w:bookmarkEnd w:id="1699"/>
    <w:bookmarkStart w:name="637603155" w:id="17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414. При соединении и оконцевании силовых кабелей применяются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w:t>
      </w:r>
    </w:p>
    <w:bookmarkEnd w:id="1700"/>
    <w:bookmarkStart w:name="637603156" w:id="17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415. Для кабельных линий до 35 кВ концевые и соединительные муфты должны применяться в соответствии с действующей технической документацией на муфты, утвержденной в установленном порядке.</w:t>
      </w:r>
    </w:p>
    <w:bookmarkEnd w:id="1701"/>
    <w:bookmarkStart w:name="637603157" w:id="17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416. Для соединительных и стопорных муфт кабельных маслонаполненных линий низкого давления необходимо применять только латунные или медные муфты.</w:t>
      </w:r>
    </w:p>
    <w:bookmarkEnd w:id="1702"/>
    <w:bookmarkStart w:name="637603158" w:id="17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линий с пластмассовой изоляцией необходимо применять концевые и соединительные муфты в пластмассовой оболочке.</w:t>
      </w:r>
    </w:p>
    <w:bookmarkEnd w:id="1703"/>
    <w:bookmarkStart w:name="637603159" w:id="17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p>
    <w:bookmarkEnd w:id="1704"/>
    <w:bookmarkStart w:name="637603160" w:id="17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размещаются в камерах, подлежащих последующей засыпке просеянной землей или песком.</w:t>
      </w:r>
    </w:p>
    <w:bookmarkEnd w:id="1705"/>
    <w:bookmarkStart w:name="637603161" w:id="17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p>
    <w:bookmarkEnd w:id="1706"/>
    <w:bookmarkStart w:name="637603162" w:id="17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417.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нестекающей массой.</w:t>
      </w:r>
    </w:p>
    <w:bookmarkEnd w:id="1707"/>
    <w:bookmarkStart w:name="637603163" w:id="17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418.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вулканизированным с покрытием противосыростным лаком.</w:t>
      </w:r>
    </w:p>
    <w:bookmarkEnd w:id="1708"/>
    <w:bookmarkStart w:name="637603164" w:id="1709"/>
    <w:p>
      <w:pPr>
        <w:spacing w:before="120" w:after="120" w:line="240"/>
        <w:ind w:left="0"/>
        <w:jc w:val="both"/>
      </w:pPr>
      <w:r>
        <w:rPr>
          <w:rFonts w:hint="default" w:ascii="Times New Roman" w:hAnsi="Times New Roman"/>
          <w:b w:val="false"/>
          <w:i w:val="false"/>
          <w:color w:val="000000"/>
          <w:sz w:val="24"/>
        </w:rPr>
        <w:t>419. Число соединительных муфт на 1 км вновь строящихся кабельных пиний должно быть не более: для трехжильных кабелей 1–10 кВ сечением до 3 х 55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4 шт. для трехжильных кабелей 1–10 кВ сечениями 3 х 120 – 3 х 240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5 шт., для трехфазных кабелей 20–35 кВ 6 шт. для одножильных кабелей 2 шт.</w:t>
      </w:r>
    </w:p>
    <w:bookmarkEnd w:id="1709"/>
    <w:bookmarkStart w:name="637603165" w:id="17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линий 110–220 кВ число соединительных муфт определяется проектом.</w:t>
      </w:r>
    </w:p>
    <w:bookmarkEnd w:id="1710"/>
    <w:bookmarkStart w:name="637603166" w:id="17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Использование маломерных отрезков кабелей для сооружения протяженных кабельных линий не допускается.</w:t>
      </w:r>
    </w:p>
    <w:bookmarkEnd w:id="1711"/>
    <w:bookmarkStart w:name="637603167" w:id="1712"/>
    <w:p>
      <w:pPr>
        <w:spacing w:before="120" w:after="120" w:line="240"/>
        <w:ind w:left="0"/>
        <w:jc w:val="center"/>
      </w:pPr>
      <w:r>
        <w:rPr>
          <w:rFonts w:hint="default" w:ascii="Times New Roman" w:hAnsi="Times New Roman"/>
          <w:b/>
          <w:i w:val="false"/>
          <w:color w:val="000000"/>
          <w:sz w:val="24"/>
        </w:rPr>
        <w:t>Параграф 6. Заземление</w:t>
      </w:r>
    </w:p>
    <w:bookmarkEnd w:id="1712"/>
    <w:bookmarkStart w:name="637603168" w:id="17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420.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разделе 2 настоящих Правил.</w:t>
      </w:r>
    </w:p>
    <w:bookmarkEnd w:id="1713"/>
    <w:bookmarkStart w:name="637603169" w:id="17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421.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На кабелях 6 кВ и выше с алюминиевыми оболочками заземление оболочки и брони должно выполняться отдельными проводниками.</w:t>
      </w:r>
    </w:p>
    <w:bookmarkEnd w:id="1714"/>
    <w:bookmarkStart w:name="637603170" w:id="1715"/>
    <w:p>
      <w:pPr>
        <w:spacing w:before="120" w:after="120" w:line="240"/>
        <w:ind w:left="0"/>
        <w:jc w:val="both"/>
      </w:pPr>
      <w:r>
        <w:rPr>
          <w:rFonts w:hint="default" w:ascii="Times New Roman" w:hAnsi="Times New Roman"/>
          <w:b w:val="false"/>
          <w:i w:val="false"/>
          <w:color w:val="000000"/>
          <w:sz w:val="24"/>
        </w:rPr>
        <w:t>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1715"/>
    <w:bookmarkStart w:name="637603171" w:id="17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Сечения заземляющих проводников контрольных кабелей выбираются в соответствии с требованием настоящих Правил.</w:t>
      </w:r>
    </w:p>
    <w:bookmarkEnd w:id="1716"/>
    <w:bookmarkStart w:name="637603172" w:id="17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на опоре конструкции установлены наружная концевая муфта и комплект разрядников, то броня металлической оболочки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bookmarkEnd w:id="1717"/>
    <w:bookmarkStart w:name="637603173" w:id="17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422. На кабельных маслонаполненных линиях низкого давления заземляются концевые, соединительные и стопорные муфты.</w:t>
      </w:r>
    </w:p>
    <w:bookmarkEnd w:id="1718"/>
    <w:bookmarkStart w:name="637603174" w:id="17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кабелях с алюминиевыми оболочками подпитывющие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p>
    <w:bookmarkEnd w:id="1719"/>
    <w:bookmarkStart w:name="637603175" w:id="17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p>
    <w:bookmarkEnd w:id="1720"/>
    <w:bookmarkStart w:name="637603176" w:id="17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423.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лромежуточных точках, определяемых расчетами в проекте.</w:t>
      </w:r>
    </w:p>
    <w:bookmarkEnd w:id="1721"/>
    <w:bookmarkStart w:name="637603177" w:id="17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p>
    <w:bookmarkEnd w:id="1722"/>
    <w:bookmarkStart w:name="637603178" w:id="17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424.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параграфа 2 главы 7 настоящих Правил.</w:t>
      </w:r>
    </w:p>
    <w:bookmarkEnd w:id="1723"/>
    <w:bookmarkStart w:name="637603179" w:id="1724"/>
    <w:p>
      <w:pPr>
        <w:spacing w:before="120" w:after="120" w:line="240"/>
        <w:ind w:left="0"/>
        <w:jc w:val="center"/>
      </w:pPr>
      <w:r>
        <w:rPr>
          <w:rFonts w:hint="default" w:ascii="Times New Roman" w:hAnsi="Times New Roman"/>
          <w:b/>
          <w:i w:val="false"/>
          <w:color w:val="000000"/>
          <w:sz w:val="24"/>
        </w:rPr>
        <w:t>Параграф 7. Специальные требования к кабельному хозяйствуэлектростанций, подстанций и распределительных устройств</w:t>
      </w:r>
    </w:p>
    <w:bookmarkEnd w:id="1724"/>
    <w:bookmarkStart w:name="637603180" w:id="17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425. Требования, приведенные в пунктах 426–432 настоящих Правил,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энергосистеме.</w:t>
      </w:r>
    </w:p>
    <w:bookmarkEnd w:id="1725"/>
    <w:bookmarkStart w:name="637603181" w:id="17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426. Главная схема электрических соединений, схема собственных нужд и схема оперативного тока управления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пожара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p>
    <w:bookmarkEnd w:id="1726"/>
    <w:bookmarkStart w:name="637603182" w:id="17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427. Для основных кабельных потоков электростанций должны предусматриваться кабельные сооружения (этажи, туннели, шахты), изолированные от технологического оборудования и исключающие доступ к кабелям посторонних лиц.</w:t>
      </w:r>
    </w:p>
    <w:bookmarkEnd w:id="1727"/>
    <w:bookmarkStart w:name="637603183" w:id="17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размещении истоков кабелей на электростанциях трассы кабельных линий должны выиграться с учетом:</w:t>
      </w:r>
    </w:p>
    <w:bookmarkEnd w:id="1728"/>
    <w:bookmarkStart w:name="637603184" w:id="17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предотвращения перегрева кабелей от нагретых поверхностей технологического оборудования;</w:t>
      </w:r>
    </w:p>
    <w:bookmarkEnd w:id="1729"/>
    <w:bookmarkStart w:name="637603185" w:id="17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предотвращения повреждений кабелей при выхлопах (возгораниях и взрывах) пыли через предохранительные устройства пылесистем;</w:t>
      </w:r>
    </w:p>
    <w:bookmarkEnd w:id="1730"/>
    <w:bookmarkStart w:name="637603186" w:id="17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p>
    <w:bookmarkEnd w:id="1731"/>
    <w:bookmarkStart w:name="637603187" w:id="17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428. Взаимно резервирующие ответственные кабельные линии (силовые, оперативного тока, средств связи, управления, сигнализации, систем пожаротушения)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делятся на изолированные одна от другой группы. Распределение кабелей по группам принимается в зависимости от местных условий.</w:t>
      </w:r>
    </w:p>
    <w:bookmarkEnd w:id="1732"/>
    <w:bookmarkStart w:name="637603188" w:id="17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429. В пределах одного энергоблока разрешается выполнение кабельных сооружений с пределом огнестойкости 0,25 часов. При этом, технологическое оборудование, которое может служить источником пожара (баки с маслом, маслостанции), должно иметь ограждения с пределом огнестойкости не менее 0,75 часов, исключающие возможность загорания кабелей при возникновении пожара на этом оборудовании.</w:t>
      </w:r>
    </w:p>
    <w:bookmarkEnd w:id="1733"/>
    <w:bookmarkStart w:name="637603189" w:id="17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p>
    <w:bookmarkEnd w:id="1734"/>
    <w:bookmarkStart w:name="637603190" w:id="17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доступа к кабелям при расположении их на высоте 5 м и более должны сооружаться специальные площадки и проходы.</w:t>
      </w:r>
    </w:p>
    <w:bookmarkEnd w:id="1735"/>
    <w:bookmarkStart w:name="637603191" w:id="17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одиночных кабелей и небольших групп кабелей (до 20) эксплуатационные площадки не сооружаюся, но при этом, должна быть обеспечена возможность быстрой замены и ремонта кабелей в условиях эксплуатации.</w:t>
      </w:r>
    </w:p>
    <w:bookmarkEnd w:id="1736"/>
    <w:bookmarkStart w:name="637603192" w:id="17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кабелей в пределах одного энергоблока вне специальных кабельных сооружений должно обеспечиваться разделение их на отдельные группы, проходящие по различным трассам.</w:t>
      </w:r>
    </w:p>
    <w:bookmarkEnd w:id="1737"/>
    <w:bookmarkStart w:name="637603193" w:id="17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430.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помещении, кабельных этажей, туннелей, шахт, коробов и каналов несгораемыми перегородками и перекрытиями с пределом огнестойкости не менее 0,75 часов, в том числе в местах прохода кабелей.</w:t>
      </w:r>
    </w:p>
    <w:bookmarkEnd w:id="1738"/>
    <w:bookmarkStart w:name="637603194" w:id="17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часов.</w:t>
      </w:r>
    </w:p>
    <w:bookmarkEnd w:id="1739"/>
    <w:bookmarkStart w:name="637603195" w:id="17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протяженных кабельных сооружениях тепловых электростанций должны предусматриваться аварийные выходы, расположенные, не реже чем через 50 м.</w:t>
      </w:r>
    </w:p>
    <w:bookmarkEnd w:id="1740"/>
    <w:bookmarkStart w:name="637603196" w:id="17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часов.</w:t>
      </w:r>
    </w:p>
    <w:bookmarkEnd w:id="1741"/>
    <w:bookmarkStart w:name="637603197" w:id="17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431.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часов.</w:t>
      </w:r>
    </w:p>
    <w:bookmarkEnd w:id="1742"/>
    <w:bookmarkStart w:name="637603198" w:id="17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Места входа кабелей на блочные щиты управления электростанцией должны быть закрыты перегородками с пределом огнестойкости не менее 0,75 часов.</w:t>
      </w:r>
    </w:p>
    <w:bookmarkEnd w:id="1743"/>
    <w:bookmarkStart w:name="637603199" w:id="17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часов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 часов.</w:t>
      </w:r>
    </w:p>
    <w:bookmarkEnd w:id="1744"/>
    <w:bookmarkStart w:name="637603200" w:id="17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Проходные кабельные шахты должны иметь входные двери и быть оборудованы лестницами или специальными скобами.</w:t>
      </w:r>
    </w:p>
    <w:bookmarkEnd w:id="1745"/>
    <w:bookmarkStart w:name="637603201" w:id="1746"/>
    <w:p>
      <w:pPr>
        <w:spacing w:before="120" w:after="120" w:line="240"/>
        <w:ind w:left="0"/>
        <w:jc w:val="center"/>
      </w:pPr>
      <w:r>
        <w:rPr>
          <w:rFonts w:hint="default" w:ascii="Times New Roman" w:hAnsi="Times New Roman"/>
          <w:b/>
          <w:i w:val="false"/>
          <w:color w:val="000000"/>
          <w:sz w:val="24"/>
        </w:rPr>
        <w:t>Параграф 8. Прокладка кабельных линий в земле</w:t>
      </w:r>
    </w:p>
    <w:bookmarkEnd w:id="1746"/>
    <w:bookmarkStart w:name="637603202" w:id="17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432. При прокладке кабельных линий непосредственно в земле кабели должны прокладываться в траншеях и иметь снизу подсыпку, а сверху засыпку слоем мелкой земли, не содержащей камней, строительного мусора и шлака.</w:t>
      </w:r>
    </w:p>
    <w:bookmarkEnd w:id="1747"/>
    <w:bookmarkStart w:name="637603203" w:id="17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кабельной линии. Применение силикатного, а также глиняного пустотелого или дырчатого кирпича не допускается.</w:t>
      </w:r>
    </w:p>
    <w:bookmarkEnd w:id="1748"/>
    <w:bookmarkStart w:name="637603204" w:id="17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на глубине 1–1,2 м кабели 20 кВ и ниже (кроме кабелей городских электросетей) допускается не защищать от механических повреждений.</w:t>
      </w:r>
    </w:p>
    <w:bookmarkEnd w:id="1749"/>
    <w:bookmarkStart w:name="637603205" w:id="17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до 1 кВ должны иметь такую защиту лишь на участках, где вероятны механические повреждения (в местах частых раскопок). Асфальтовые покрытия улиц рассматриваются как места, где разрытия производятся в редких случаях. Для кабельных линий до 20 кВ, кроме линий выше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соответствии требованием законодательства Республики Казахстан.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подстанциям в радиусе 5 м.</w:t>
      </w:r>
    </w:p>
    <w:bookmarkEnd w:id="1750"/>
    <w:bookmarkStart w:name="637603206" w:id="17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края ленты 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p>
    <w:bookmarkEnd w:id="1751"/>
    <w:bookmarkStart w:name="637603207" w:id="17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bookmarkEnd w:id="1752"/>
    <w:bookmarkStart w:name="637603208" w:id="17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433. Глубина заложения кабельных линий от планировочной отметки должна быть не менее линий до 20 кВ 0,7 м, 35 кВ 1 м при пересечении улиц и площадей независимо от напряжения 1 м.</w:t>
      </w:r>
    </w:p>
    <w:bookmarkEnd w:id="1753"/>
    <w:bookmarkStart w:name="637603209" w:id="17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маслонаполненные линии и кабельные линии с пластмассовой изоляцией 110–220 кВ должны иметь глубину заложения от планировочной отметки не менее 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повреждений.</w:t>
      </w:r>
    </w:p>
    <w:bookmarkEnd w:id="1754"/>
    <w:bookmarkStart w:name="637603210" w:id="17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p>
    <w:bookmarkEnd w:id="1755"/>
    <w:bookmarkStart w:name="637603211" w:id="17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434. Расстояние в свету от кабеля, проложенного непосредственно в земле, до фундаментов сооружений должно быть не менее 0,6 м. Прокладки кабелей непосредственно в земле под фундаментами зданий и сооружений не допускается.</w:t>
      </w:r>
    </w:p>
    <w:bookmarkEnd w:id="1756"/>
    <w:bookmarkStart w:name="637603212" w:id="17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435. При параллельной прокладке кабельных линий расстояние по горизонтали в свету между кабелями должно быть не менее:</w:t>
      </w:r>
    </w:p>
    <w:bookmarkEnd w:id="1757"/>
    <w:bookmarkStart w:name="637603213" w:id="17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100 мм между силовыми кабелями до 10 кВ, а также между ними и контрольными кабелями;</w:t>
      </w:r>
    </w:p>
    <w:bookmarkEnd w:id="1758"/>
    <w:bookmarkStart w:name="637603214" w:id="17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250 мм между кабелями 20–35 кВ и между ними и другими кабелями;</w:t>
      </w:r>
    </w:p>
    <w:bookmarkEnd w:id="1759"/>
    <w:bookmarkStart w:name="637603215" w:id="17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500 мм между кабелями, эксплуатируемыми различными организациями, а также между силовыми кабелями и кабелями связи;</w:t>
      </w:r>
    </w:p>
    <w:bookmarkEnd w:id="1760"/>
    <w:bookmarkStart w:name="637603216" w:id="17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500 мм между маслонаполненными кабелями, кабелями с пластмассовой изоляцией 110–220 кВ и другими кабелями; при этом, кабельные маслонаполненные линии низкого давления и кабельные линии с пластмассовой изоляцией отделяются одна от другой и от других кабелей железобетонными плитами, поставленными на ребро производятся расчет электромагнитного влияния на кабели связи.</w:t>
      </w:r>
    </w:p>
    <w:bookmarkEnd w:id="1761"/>
    <w:bookmarkStart w:name="637603217" w:id="17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Однофазные маслонаполненные кабели и кабели с пластмассовой изоляцией укладываются вплотную по вершинам треугольника, в середине которого, при необходимости размещается заземляющий проводник. Для увеличения пропускной способности линий для лучшего отвода тепла кабели располагаются в горизонтальной плоскости с расстоянием между фазами 100 мм, если, по условиям величины токов короткого замыкания, не требуется применение заземляющего проводника.</w:t>
      </w:r>
    </w:p>
    <w:bookmarkEnd w:id="1762"/>
    <w:bookmarkStart w:name="637603218" w:id="17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подпунктах 2 и 3 настоящего пункта, до 100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из кабелей (прокладка в трубах, установка несгораемых перегородок). Расстояние между контрольными кабелями не нормируется.</w:t>
      </w:r>
    </w:p>
    <w:bookmarkEnd w:id="1763"/>
    <w:bookmarkStart w:name="637603219" w:id="17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436. При прокладке кабельных линий в зоне насаждений расстояние от кабелей до стволов деревьев должно быть, не менее 2 м.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bookmarkEnd w:id="1764"/>
    <w:bookmarkStart w:name="637603220" w:id="17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кабелей в пределах зеленой зоны с кустарниковыми посадками указанные расстояния допускается уменьшить до 0,75 м.</w:t>
      </w:r>
    </w:p>
    <w:bookmarkEnd w:id="1765"/>
    <w:bookmarkStart w:name="637603221" w:id="17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437. При параллельной прокладке расстояние по горизонтали в свету от кабельных линий напряжением до 35 кВ, маслонаполненных кабельных линий и кабельных линий с пластмассовой изоляцией до трубопроводов, водопровода, канализации и дренажа должно быть не менее 1 м до газопроводов низкого (0,0049 МП1), среднего (0,294МП1) и высокого давления (более 0,294 до 0,588 МП1) – не менее 1 м до газопроводов высокого давления (более 0,588 до 1,176 МП1) – не менее 2 м до теплопроводов – в соответствии с пунктом 439 настоящих Правил.</w:t>
      </w:r>
    </w:p>
    <w:bookmarkEnd w:id="1766"/>
    <w:bookmarkStart w:name="637603222" w:id="17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 без специальной защиты кабелей и до 0,25 м – при прокладке кабелей в трубах.</w:t>
      </w:r>
    </w:p>
    <w:bookmarkEnd w:id="1767"/>
    <w:bookmarkStart w:name="637603223" w:id="17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маслонаполненных кабельных линий и кабельных линий с пластмассовой изоляцией 110–220 кВ на участке сближения длиной не более 50 м допускается уменьшение расстояния по горизонтали в свету до трубопроводов, за исключением трубопроводов с горючими жидкостями и газами, до 0,5 м – при условии устройства между маслонаполненными кабелями, кабелями с пластмассовой изоляцией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p>
    <w:bookmarkEnd w:id="1768"/>
    <w:bookmarkStart w:name="637603224" w:id="1769"/>
    <w:p>
      <w:pPr>
        <w:spacing w:before="120" w:after="120" w:line="240"/>
        <w:ind w:left="0"/>
        <w:jc w:val="both"/>
      </w:pPr>
      <w:r>
        <w:rPr>
          <w:rFonts w:hint="default" w:ascii="Times New Roman" w:hAnsi="Times New Roman"/>
          <w:b w:val="false"/>
          <w:i w:val="false"/>
          <w:color w:val="000000"/>
          <w:sz w:val="24"/>
        </w:rPr>
        <w:t>438.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кабельных линий до 10 кВ и 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линий 20–220 кВ.</w:t>
      </w:r>
    </w:p>
    <w:bookmarkEnd w:id="1769"/>
    <w:bookmarkStart w:name="637603225" w:id="17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439. При прокладке кабельной линии параллельно с железными дорогами кабели прокладываются, вне зоны, отчуждения дороги. Прокладка кабелей в пределах зоны отчуждения допускается только по согласованию с заинтересованными организациями, при этом, расстояние от кабеля до оси пути железной дороги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bookmarkEnd w:id="1770"/>
    <w:bookmarkStart w:name="637603226" w:id="17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электрифицированных дорогах на постоянном токе блоки или трубы должны быть изолирующими (асбестоцементные, пропитанные гудроном или битумом).</w:t>
      </w:r>
    </w:p>
    <w:bookmarkEnd w:id="1771"/>
    <w:bookmarkStart w:name="637603227" w:id="17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440. При прокладке кабельной линии параллельно с трамвайными путям рассеяние от кабеля до оси трамвайного пути должно быть не менее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пункте 439 настоящих Правил.</w:t>
      </w:r>
    </w:p>
    <w:bookmarkEnd w:id="1772"/>
    <w:bookmarkStart w:name="637603228" w:id="17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441. При прокладке кабельной линии параллельно с автомобильными дорогами категорий I и II кабели должны прокладываться с внешней стороны кювета или подошвы насыпи и на расстоянии не менее 1 м от бровки или не менее 1,5 м от бордюрного камня. Уменьшение указанного расстояния допускается в каждом отдельном случае по согласованию с соответствующими заинтересованными организациями.</w:t>
      </w:r>
    </w:p>
    <w:bookmarkEnd w:id="1773"/>
    <w:bookmarkStart w:name="637603229" w:id="17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442.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10 м.</w:t>
      </w:r>
    </w:p>
    <w:bookmarkEnd w:id="1774"/>
    <w:bookmarkStart w:name="637603230" w:id="17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p>
    <w:bookmarkEnd w:id="1775"/>
    <w:bookmarkStart w:name="637603231" w:id="17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в свету от кабельной линии до опоры ВЛ до 1 кВ должно быть не менее 1 м, а при прокладке кабеля на участке сближения в изолирующей трубе 0,5 м.</w:t>
      </w:r>
    </w:p>
    <w:bookmarkEnd w:id="1776"/>
    <w:bookmarkStart w:name="637603232" w:id="17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подстанции.</w:t>
      </w:r>
    </w:p>
    <w:bookmarkEnd w:id="1777"/>
    <w:bookmarkStart w:name="637603233" w:id="17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443. При пересечении других кабелей они должны быть разделены слоем земли толщиной не менее 0,5 м это расстояние в стесненных условиях для кабелей до 35 кВ допускается уменьшение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p>
    <w:bookmarkEnd w:id="1778"/>
    <w:bookmarkStart w:name="637603234" w:id="17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444.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 пересечения плюс не менее чем по 2 м в каждую сторону в трубах.</w:t>
      </w:r>
    </w:p>
    <w:bookmarkEnd w:id="1779"/>
    <w:bookmarkStart w:name="637603235" w:id="17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кабельной маслонаполненной линией, кабельной линией с пластмассовой изоляцией трубопроводов расстояние между ними в свету должно быть не менее 1 м. Для стесненных условий допускается принимать расстояние не менее 0,25 м, но при условии размещения кабелей в трубах или железобетонных лотках с крышкой.</w:t>
      </w:r>
    </w:p>
    <w:bookmarkEnd w:id="1780"/>
    <w:bookmarkStart w:name="637603236" w:id="1781"/>
    <w:p>
      <w:pPr>
        <w:spacing w:before="120" w:after="120" w:line="240"/>
        <w:ind w:left="0"/>
        <w:jc w:val="both"/>
      </w:pPr>
      <w:r>
        <w:rPr>
          <w:rFonts w:hint="default" w:ascii="Times New Roman" w:hAnsi="Times New Roman"/>
          <w:b w:val="false"/>
          <w:i w:val="false"/>
          <w:color w:val="000000"/>
          <w:sz w:val="24"/>
        </w:rPr>
        <w:t>445. При пересечении кабельными линиями до 35 кВ теплопроводов расстояние между кабелями и перекрытием теплопровода в свету должно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по отношению к высшей летней температуре и на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по отношению к низшей зимней.</w:t>
      </w:r>
    </w:p>
    <w:bookmarkEnd w:id="1781"/>
    <w:bookmarkStart w:name="637603237" w:id="17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когда указанные условия не соблюдаются, выполняется одно из следующих мероприятий:</w:t>
      </w:r>
    </w:p>
    <w:bookmarkEnd w:id="1782"/>
    <w:bookmarkStart w:name="637603238" w:id="17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заглубление кабелей до 0,5 м вместо 0,7 м;</w:t>
      </w:r>
    </w:p>
    <w:bookmarkEnd w:id="1783"/>
    <w:bookmarkStart w:name="637603239" w:id="17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применение кабельной вставки большего сечения;</w:t>
      </w:r>
    </w:p>
    <w:bookmarkEnd w:id="1784"/>
    <w:bookmarkStart w:name="637603240" w:id="17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w:t>
      </w:r>
    </w:p>
    <w:bookmarkEnd w:id="1785"/>
    <w:bookmarkStart w:name="637603241" w:id="1786"/>
    <w:p>
      <w:pPr>
        <w:spacing w:before="120" w:after="120" w:line="240"/>
        <w:ind w:left="0"/>
        <w:jc w:val="both"/>
      </w:pPr>
      <w:r>
        <w:rPr>
          <w:rFonts w:hint="default" w:ascii="Times New Roman" w:hAnsi="Times New Roman"/>
          <w:b w:val="false"/>
          <w:i w:val="false"/>
          <w:color w:val="000000"/>
          <w:sz w:val="24"/>
        </w:rPr>
        <w:t>При пересечении кабельной маслонаполненной линией, кабельной линией с пластмассовой изоляцией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каждую сторону от крайних кабелей должен иметь такую теплоизоляцию, чтобы температура земли не повышалась более чем на 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в любое время года.</w:t>
      </w:r>
    </w:p>
    <w:bookmarkEnd w:id="1786"/>
    <w:bookmarkStart w:name="637603242" w:id="17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446.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обе стороны от полотна дороги.</w:t>
      </w:r>
    </w:p>
    <w:bookmarkEnd w:id="1787"/>
    <w:bookmarkStart w:name="637603243" w:id="1788"/>
    <w:p>
      <w:pPr>
        <w:spacing w:before="120" w:after="120" w:line="240"/>
        <w:ind w:left="0"/>
        <w:jc w:val="both"/>
      </w:pPr>
      <w:r>
        <w:rPr>
          <w:rFonts w:hint="default" w:ascii="Times New Roman" w:hAnsi="Times New Roman"/>
          <w:b w:val="false"/>
          <w:i w:val="false"/>
          <w:color w:val="000000"/>
          <w:sz w:val="24"/>
        </w:rPr>
        <w:t>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Место пересечения должно находиться на расстоянии не менее 13 м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к оси пути.</w:t>
      </w:r>
    </w:p>
    <w:bookmarkEnd w:id="1788"/>
    <w:bookmarkStart w:name="637603244" w:id="17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Концы блоков и труб должны быть утоплены джутовыми плетеными шнурами, обмазанными водонепроницаемой (мятой) глиной на глубину не менее 330 мм.</w:t>
      </w:r>
    </w:p>
    <w:bookmarkEnd w:id="1789"/>
    <w:bookmarkStart w:name="637603245" w:id="17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тупиковых дорог промышленного назначения с малой интенсивностью движения, а также специальных путей (на слипах) кабели, прокладываются непосредственно в земле.</w:t>
      </w:r>
    </w:p>
    <w:bookmarkEnd w:id="1790"/>
    <w:bookmarkStart w:name="637603246" w:id="17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p>
    <w:bookmarkEnd w:id="1791"/>
    <w:bookmarkStart w:name="637603247" w:id="17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p>
    <w:bookmarkEnd w:id="1792"/>
    <w:bookmarkStart w:name="637603248" w:id="17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447. При пересечении кабельными линиями трамвайных путей кабели должны прокладываться в изолирующих блоках или трубах. Пересечение должно выполняться на расстоянии не менее 3 м от стрелок, крестовин и мест присоединения к рельсам отсасывающих кабелей.</w:t>
      </w:r>
    </w:p>
    <w:bookmarkEnd w:id="1793"/>
    <w:bookmarkStart w:name="637603249" w:id="17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448. При пересечении кабельными линиями въездов для автотранспорта во дворы, гаражи прокладка кабелей должна производиться в трубах. Таким же способом должны быть защищены кабели в местах пересечения ручьев и канав.</w:t>
      </w:r>
    </w:p>
    <w:bookmarkEnd w:id="1794"/>
    <w:bookmarkStart w:name="637603250" w:id="17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на кабельных линиях кабельных муфт расстояние в свету между корпусом кабельной муфты и ближайшим кабелем должно быть не менее 250 мм.</w:t>
      </w:r>
    </w:p>
    <w:bookmarkEnd w:id="1795"/>
    <w:bookmarkStart w:name="637603251" w:id="17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на крутонаклонных трассах кабельных муфт под ними должны выполняться горизонтальные площадки.</w:t>
      </w:r>
    </w:p>
    <w:bookmarkEnd w:id="1796"/>
    <w:bookmarkStart w:name="637603252" w:id="17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возможности перемонтажа муфт в случае их повреждения на кабельной линии требуется укладывать кабель с обеих сторон муфт с запасом.</w:t>
      </w:r>
    </w:p>
    <w:bookmarkEnd w:id="1797"/>
    <w:bookmarkStart w:name="637603253" w:id="17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449. При наличии по трассе кабельной линии блуждающих токов опасных величин необходимо:</w:t>
      </w:r>
    </w:p>
    <w:bookmarkEnd w:id="1798"/>
    <w:bookmarkStart w:name="637603254" w:id="17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изменить трассу кабельной линии с тем, чтобы обойти опасные зоны;</w:t>
      </w:r>
    </w:p>
    <w:bookmarkEnd w:id="1799"/>
    <w:bookmarkStart w:name="637603255" w:id="18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bookmarkEnd w:id="1800"/>
    <w:bookmarkStart w:name="637603256" w:id="1801"/>
    <w:p>
      <w:pPr>
        <w:spacing w:before="120" w:after="120" w:line="240"/>
        <w:ind w:left="0"/>
        <w:jc w:val="both"/>
      </w:pPr>
      <w:r>
        <w:rPr>
          <w:rFonts w:hint="default" w:ascii="Times New Roman" w:hAnsi="Times New Roman"/>
          <w:b w:val="false"/>
          <w:i w:val="false"/>
          <w:color w:val="000000"/>
          <w:sz w:val="24"/>
        </w:rPr>
        <w:t>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w:t>
      </w: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w:t>
      </w:r>
    </w:p>
    <w:bookmarkEnd w:id="1801"/>
    <w:bookmarkStart w:name="637603257" w:id="18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пунктов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bookmarkEnd w:id="1802"/>
    <w:bookmarkStart w:name="637603258" w:id="18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контроля потенциалов на кабельных линиях допускается использовать места выходов кабелей на трансформаторные подстанции, распределительные пункты.</w:t>
      </w:r>
    </w:p>
    <w:bookmarkEnd w:id="1803"/>
    <w:bookmarkStart w:name="637603259" w:id="1804"/>
    <w:p>
      <w:pPr>
        <w:spacing w:before="120" w:after="120" w:line="240"/>
        <w:ind w:left="0"/>
        <w:jc w:val="center"/>
      </w:pPr>
      <w:r>
        <w:rPr>
          <w:rFonts w:hint="default" w:ascii="Times New Roman" w:hAnsi="Times New Roman"/>
          <w:b/>
          <w:i w:val="false"/>
          <w:color w:val="000000"/>
          <w:sz w:val="24"/>
        </w:rPr>
        <w:t>Параграф 9. Прокладка кабельных линий в кабельных блоках,трубах и железобетонных лотках</w:t>
      </w:r>
    </w:p>
    <w:bookmarkEnd w:id="1804"/>
    <w:bookmarkStart w:name="637603260" w:id="18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450.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учитывается уровень грунтовых вод и их агрессивность, а также наличие блуждающих токов.</w:t>
      </w:r>
    </w:p>
    <w:bookmarkEnd w:id="1805"/>
    <w:bookmarkStart w:name="637603261" w:id="18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Маслонаполненные однофазные кабели низкого давления, однофазные кабели с пластмассовой изоляцией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bookmarkEnd w:id="1806"/>
    <w:bookmarkStart w:name="637603262" w:id="18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451. Допустимое количество каналов в блоках, расстояния между ними и их размер должны приниматься согласно пункте 45 настоящих Правил.</w:t>
      </w:r>
    </w:p>
    <w:bookmarkEnd w:id="1807"/>
    <w:bookmarkStart w:name="637603263" w:id="18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452. Каждый кабельный блок должен иметь до 15 % резервных каналов, но не менее одного канала.</w:t>
      </w:r>
    </w:p>
    <w:bookmarkEnd w:id="1808"/>
    <w:bookmarkStart w:name="637603264" w:id="18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453. Глубина заложения в земле кабельных блоков и труб должна приниматься по местным условиям, но быть не менее расстояний, приведенных в пункте 433 настоящих Правил, считая до верхнего кабеля. Глубина заложения кабельных блоков и труб на закрытых территориях и в полах производственных помещений не нормируется.</w:t>
      </w:r>
    </w:p>
    <w:bookmarkEnd w:id="1809"/>
    <w:bookmarkStart w:name="637603265" w:id="18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454. Кабельные блоки должны иметь уклон не менее 0,2 % в сторону колодцев. Такой же уклон необходимо соблюдать и при прокладке труб для кабелей.</w:t>
      </w:r>
    </w:p>
    <w:bookmarkEnd w:id="1810"/>
    <w:bookmarkStart w:name="637603266" w:id="18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455.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w:t>
      </w:r>
    </w:p>
    <w:bookmarkEnd w:id="1811"/>
    <w:bookmarkStart w:name="637603267" w:id="18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кабельных линий в трубах в полу помещения расстояния между ними принимаются, как для прокладки в земле.</w:t>
      </w:r>
    </w:p>
    <w:bookmarkEnd w:id="1812"/>
    <w:bookmarkStart w:name="637603268" w:id="18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456.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напряжение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p>
    <w:bookmarkEnd w:id="1813"/>
    <w:bookmarkStart w:name="637603269" w:id="18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457. Переход кабельных линий из блоков и труб в здания, туннели, подвалы должен осуществляться одним из следующих способов:</w:t>
      </w:r>
    </w:p>
    <w:bookmarkEnd w:id="1814"/>
    <w:bookmarkStart w:name="637603270" w:id="18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непосредственным вводом в них блоков и труб, сооружением колодцев или приямков внутри зданий либо камер у их наружных стен.</w:t>
      </w:r>
    </w:p>
    <w:bookmarkEnd w:id="1815"/>
    <w:bookmarkStart w:name="637603271" w:id="18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Должны быть предусмотрены меры, исключающие проникновение через трубы или проемы воды и мелких животных из траншей в здания, туннели.</w:t>
      </w:r>
    </w:p>
    <w:bookmarkEnd w:id="1816"/>
    <w:bookmarkStart w:name="637603272" w:id="18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458.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w:t>
      </w:r>
    </w:p>
    <w:bookmarkEnd w:id="1817"/>
    <w:bookmarkStart w:name="637603273" w:id="18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459. При высоком уровне грунтовых вод на территории ОРУ применяются надземные способы прокладки кабелей (в лотках или коробах). Надземные лотки и плиты для их покрытия должны быть выполнены из железобетона. Лотки должны быть уложены на специальных бетонных подсадках с уклоном не менее 0,2 %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p>
    <w:bookmarkEnd w:id="1818"/>
    <w:bookmarkStart w:name="637603274" w:id="18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преходящего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p>
    <w:bookmarkEnd w:id="1819"/>
    <w:bookmarkStart w:name="637603275" w:id="18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w:t>
      </w:r>
    </w:p>
    <w:bookmarkEnd w:id="1820"/>
    <w:bookmarkStart w:name="637603276" w:id="1821"/>
    <w:p>
      <w:pPr>
        <w:spacing w:before="120" w:after="120" w:line="240"/>
        <w:ind w:left="0"/>
        <w:jc w:val="center"/>
      </w:pPr>
      <w:r>
        <w:rPr>
          <w:rFonts w:hint="default" w:ascii="Times New Roman" w:hAnsi="Times New Roman"/>
          <w:b/>
          <w:i w:val="false"/>
          <w:color w:val="000000"/>
          <w:sz w:val="24"/>
        </w:rPr>
        <w:t>Параграф 10. Прокладка кабельных линий в кабельных сооружениях</w:t>
      </w:r>
    </w:p>
    <w:bookmarkEnd w:id="1821"/>
    <w:bookmarkStart w:name="637603277" w:id="18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460. 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 (замена кабелей в процессе монтажа, дополнительная прокладка в последующей эксплуатации)</w:t>
      </w:r>
    </w:p>
    <w:bookmarkEnd w:id="1822"/>
    <w:bookmarkStart w:name="637603278" w:id="1823"/>
    <w:p>
      <w:pPr>
        <w:spacing w:before="120" w:after="120" w:line="240"/>
        <w:ind w:left="0"/>
        <w:jc w:val="both"/>
      </w:pPr>
      <w:r>
        <w:rPr>
          <w:rFonts w:hint="default" w:ascii="Times New Roman" w:hAnsi="Times New Roman"/>
          <w:b w:val="false"/>
          <w:i w:val="false"/>
          <w:color w:val="000000"/>
          <w:sz w:val="24"/>
        </w:rPr>
        <w:t>461.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часов.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кабелей с пластмассовой изоляцией. Площадь каждого отсека двойного пола должна быть не более 600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1823"/>
    <w:bookmarkStart w:name="637603279" w:id="18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в кабельных сооружениях и перегородках с пределом огнестойкости 0,75 часов должны иметь предел огнестойкости не менее 0,75 часов в электроустановках, перечисленных в пункте 426 настоящих Правил и 0,6 часов в остальных электроустановках.</w:t>
      </w:r>
    </w:p>
    <w:bookmarkEnd w:id="1824"/>
    <w:bookmarkStart w:name="637603280" w:id="18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Выходы из кабельных сооружений должны предусматриваться наружу или в помещения с производствами категорий Г и Д.</w:t>
      </w:r>
    </w:p>
    <w:bookmarkEnd w:id="1825"/>
    <w:bookmarkStart w:name="637603281" w:id="18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25 м допускается иметь один выход.</w:t>
      </w:r>
    </w:p>
    <w:bookmarkEnd w:id="1826"/>
    <w:bookmarkStart w:name="637603282" w:id="18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bookmarkEnd w:id="1827"/>
    <w:bookmarkStart w:name="637603283" w:id="18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p>
    <w:bookmarkEnd w:id="1828"/>
    <w:bookmarkStart w:name="637603284" w:id="18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Входы должны иметь двери, предотвращающие свободный доступ на эстакады лицам, не связанным с обслуживанием кабельного хозяйства.</w:t>
      </w:r>
    </w:p>
    <w:bookmarkEnd w:id="1829"/>
    <w:bookmarkStart w:name="637603285" w:id="18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должны иметь самозапирающиеся замки, открываемые без ключа с внутренней стороны эстакады.</w:t>
      </w:r>
    </w:p>
    <w:bookmarkEnd w:id="1830"/>
    <w:bookmarkStart w:name="637603286" w:id="18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между входами в кабельную галерею при прокладке в ней кабелей не выше 35 кВ должно быть не более 150 м, а при прокладке маслонаполненных кабелей, кабелей с пластмассовой изоляцией – не более 120 м.</w:t>
      </w:r>
    </w:p>
    <w:bookmarkEnd w:id="1831"/>
    <w:bookmarkStart w:name="637603287" w:id="18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часов или из стального проката с пределом огнестойкости не менее 0,25 часов.</w:t>
      </w:r>
    </w:p>
    <w:bookmarkEnd w:id="1832"/>
    <w:bookmarkStart w:name="637603288" w:id="18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Несущие конструкции зданий и сооружений, которые могут опасно деформироваться или снизить механическую прочность при горении групп (потоко3)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часов.</w:t>
      </w:r>
    </w:p>
    <w:bookmarkEnd w:id="1833"/>
    <w:bookmarkStart w:name="637603289" w:id="18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галереи должны делиться на отсеки несгораемыми противопожарными перегородками с пределом огнестойкости не менее 0,75 часов. Длина отсеков галерей должна быть не более 150 м при прокладке в них кабелей до 35 кВ и не более 120 м при прокладке маслонаполненных кабелей, кабелей с пластмассовой изоляцией. На наружные кабельные галереи, закрытые частично, указанные требования не распространяются.</w:t>
      </w:r>
    </w:p>
    <w:bookmarkEnd w:id="1834"/>
    <w:bookmarkStart w:name="637603290" w:id="1835"/>
    <w:p>
      <w:pPr>
        <w:spacing w:before="120" w:after="120" w:line="240"/>
        <w:ind w:left="0"/>
        <w:jc w:val="both"/>
      </w:pPr>
      <w:r>
        <w:rPr>
          <w:rFonts w:hint="default" w:ascii="Times New Roman" w:hAnsi="Times New Roman"/>
          <w:b w:val="false"/>
          <w:i w:val="false"/>
          <w:color w:val="000000"/>
          <w:sz w:val="24"/>
        </w:rPr>
        <w:t>462.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Устройство ступеней между отсеками туннелей не допускаются.</w:t>
      </w:r>
    </w:p>
    <w:bookmarkEnd w:id="1835"/>
    <w:bookmarkStart w:name="637603291" w:id="18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p>
    <w:bookmarkEnd w:id="1836"/>
    <w:bookmarkStart w:name="637603292" w:id="18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туннелях должны быть предусмотрены дренажные механизмы, при этом, применяются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bookmarkEnd w:id="1837"/>
    <w:bookmarkStart w:name="637603293" w:id="1838"/>
    <w:p>
      <w:pPr>
        <w:spacing w:before="120" w:after="120" w:line="240"/>
        <w:ind w:left="0"/>
        <w:jc w:val="both"/>
      </w:pPr>
      <w:r>
        <w:rPr>
          <w:rFonts w:hint="default" w:ascii="Times New Roman" w:hAnsi="Times New Roman"/>
          <w:b w:val="false"/>
          <w:i w:val="false"/>
          <w:color w:val="000000"/>
          <w:sz w:val="24"/>
        </w:rPr>
        <w:t>При переходах эстакады и галереи проходного типа с одной отметки на другую должен быть выполнен пандус с уклоном не более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Как исключение, допускается устройство лестницы с уклоном 1:1.</w:t>
      </w:r>
    </w:p>
    <w:bookmarkEnd w:id="1838"/>
    <w:bookmarkStart w:name="637603294" w:id="18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463.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перекрываются рифленой сталью, а в помещениях щитов управления с паркетными полами – деревянными щитами с паркетом, защищенными снизу асбестом и по асбесту – жестью. Перекрытие каналов и двойных полов должно быть рассчитано на передвижение по нему соответствующего оборудования.</w:t>
      </w:r>
    </w:p>
    <w:bookmarkEnd w:id="1839"/>
    <w:bookmarkStart w:name="637603295" w:id="18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464. Кабельные каналы вне зданий должны быть засыпаны поверх съемных плит слоем земли толщиной не менее 0,3 м.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p>
    <w:bookmarkEnd w:id="1840"/>
    <w:bookmarkStart w:name="637603296" w:id="18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465.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bookmarkEnd w:id="1841"/>
    <w:bookmarkStart w:name="637603297" w:id="18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466. Подземные туннели вне зданий должны иметь поверх перекрытия слой земли толщиной не менее 0,5 м.</w:t>
      </w:r>
    </w:p>
    <w:bookmarkEnd w:id="1842"/>
    <w:bookmarkStart w:name="637603298" w:id="1843"/>
    <w:p>
      <w:pPr>
        <w:spacing w:before="120" w:after="120" w:line="240"/>
        <w:ind w:left="0"/>
        <w:jc w:val="both"/>
      </w:pPr>
      <w:r>
        <w:rPr>
          <w:rFonts w:hint="default" w:ascii="Times New Roman" w:hAnsi="Times New Roman"/>
          <w:b w:val="false"/>
          <w:i w:val="false"/>
          <w:color w:val="000000"/>
          <w:sz w:val="24"/>
        </w:rPr>
        <w:t>467. При совместной прокладке кабелей и теплопроводов в сооружениях дополнительны и нагрев воздуха теплопроводом в месте расположения кабелей в любое время года не должен превышать 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чего должны быть предусмотрены вентиляция и теплоизоляция на трубах.</w:t>
      </w:r>
    </w:p>
    <w:bookmarkEnd w:id="1843"/>
    <w:bookmarkStart w:name="637603299" w:id="18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468. В кабельных сооружениях кабели прокладываются целыми строительными длинами, а размещение кабелей в сооружениях должно производиться в соответствии со следующим:</w:t>
      </w:r>
    </w:p>
    <w:bookmarkEnd w:id="1844"/>
    <w:bookmarkStart w:name="637603300" w:id="18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контрольные кабели и кабели связи размещаются только под или только над силовыми кабелями при этом, их отделяют перегородкой. В местах переселения и ответвления допускается прокладка контрольных кабелей и кабелей связи над и под силовыми кабелями;</w:t>
      </w:r>
    </w:p>
    <w:bookmarkEnd w:id="1845"/>
    <w:bookmarkStart w:name="637603301" w:id="18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контрольные кабели допускается прокладывать рядом с силовыми кабелями до 1 кВ;</w:t>
      </w:r>
    </w:p>
    <w:bookmarkEnd w:id="1846"/>
    <w:bookmarkStart w:name="637603302" w:id="18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силовые кабели до 1 кВ прокладываются над кабелями выше 1 кВ; при этом, их отделяют перегородкой;</w:t>
      </w:r>
    </w:p>
    <w:bookmarkEnd w:id="1847"/>
    <w:bookmarkStart w:name="637603303" w:id="18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различные группы кабелей, рабочие и резервные кабели выше 1 кВ генераторов, трансформаторов, питающие электроприемники I категории, прокладываются на разных горизонтальных уровнях и разделять перегородками;</w:t>
      </w:r>
    </w:p>
    <w:bookmarkEnd w:id="1848"/>
    <w:bookmarkStart w:name="637603304" w:id="18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разделительные перегородки, указанные в подпунктах 1), 3) и 4) настоящего пункта должны быть несгораемыми с пределом огнестойкости не менее 0,25 часов.</w:t>
      </w:r>
    </w:p>
    <w:bookmarkEnd w:id="1849"/>
    <w:bookmarkStart w:name="637603305" w:id="18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автоматического пожаротушения с использованием воздушно-механической пены или распыленной воды перегородки, указанные в подпунктах 1), 3) и 4) настоящего пункта допускается не устанавливать.</w:t>
      </w:r>
    </w:p>
    <w:bookmarkEnd w:id="1850"/>
    <w:bookmarkStart w:name="637603306" w:id="18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наружных кабельных эстакадах и в наружных закрытых частично кабельных галереях установка разделительных перегородок, указанных в подпунктах 1), 3) и 4) настоящего пункта не требуется. При этом, взаимно резервирующие силовые кабельные линии (за исключением линий к электроприемникам особой группы I категории) прокладываются с расстоянием между ними не менее 600 мм и располагаются на эстакадах по обе стороны пролетной несущей конструкции (балки, фермы) в галереях по разным сторонам от прохода.</w:t>
      </w:r>
    </w:p>
    <w:bookmarkEnd w:id="1851"/>
    <w:bookmarkStart w:name="637603307" w:id="18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469. Маслонаполненные кабели и кабели с пластмассовой изоляцией прокладываются, в отдельных кабельных сооружениях. Допускается их прокладка совместно с другими кабелями при этом, маслонаполненные кабели и кабели с пластмассовой изоляцией размещаются в нижней части кабельного сооружения и отделять от других кабелей горизонтальными перегородками с пределом огнестойкости не менее 0,75 часов. Такими же перегородками отделяется одну от другой маслонаполненные кабельные линии и кабельные линии с пластмассовой изоляцией.</w:t>
      </w:r>
    </w:p>
    <w:bookmarkEnd w:id="1852"/>
    <w:bookmarkStart w:name="637603308" w:id="18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470.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 утвержденных в установленном порядке.</w:t>
      </w:r>
    </w:p>
    <w:bookmarkEnd w:id="1853"/>
    <w:bookmarkStart w:name="637603309" w:id="18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непосредственной близости от входа, люков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100 м.</w:t>
      </w:r>
    </w:p>
    <w:bookmarkEnd w:id="1854"/>
    <w:bookmarkStart w:name="637603310" w:id="1855"/>
    <w:p>
      <w:pPr>
        <w:spacing w:before="120" w:after="120" w:line="240"/>
        <w:ind w:left="0"/>
        <w:jc w:val="both"/>
      </w:pPr>
      <w:r>
        <w:rPr>
          <w:rFonts w:hint="default" w:ascii="Times New Roman" w:hAnsi="Times New Roman"/>
          <w:b w:val="false"/>
          <w:i w:val="false"/>
          <w:color w:val="000000"/>
          <w:sz w:val="24"/>
        </w:rPr>
        <w:t>471. В кабельных сооружениях прокладку контрольных кабелей и силовых кабелей сечением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более, за исключением небронированных кабелей со свинцовой оболочкой, выполняется по кабельным конструкциям (консолям).</w:t>
      </w:r>
    </w:p>
    <w:bookmarkEnd w:id="1855"/>
    <w:bookmarkStart w:name="637603311" w:id="1856"/>
    <w:p>
      <w:pPr>
        <w:spacing w:before="120" w:after="120" w:line="240"/>
        <w:ind w:left="0"/>
        <w:jc w:val="both"/>
      </w:pPr>
      <w:r>
        <w:rPr>
          <w:rFonts w:hint="default" w:ascii="Times New Roman" w:hAnsi="Times New Roman"/>
          <w:b w:val="false"/>
          <w:i w:val="false"/>
          <w:color w:val="000000"/>
          <w:sz w:val="24"/>
        </w:rPr>
        <w:t>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менее прокладываются по лоткам или перегородкам (сплошным или несплошным).</w:t>
      </w:r>
    </w:p>
    <w:bookmarkEnd w:id="1856"/>
    <w:bookmarkStart w:name="637603312" w:id="18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прокладка кабелей по дну канала при глубине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часов.</w:t>
      </w:r>
    </w:p>
    <w:bookmarkEnd w:id="1857"/>
    <w:bookmarkStart w:name="637603313" w:id="18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между отдельными кабелями приведены в таблице 124 приложения к настоящим Правилам.</w:t>
      </w:r>
    </w:p>
    <w:bookmarkEnd w:id="1858"/>
    <w:bookmarkStart w:name="637603314" w:id="18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Засыпка песком силовых кабелей, проложенных в каналах не допускается.</w:t>
      </w:r>
    </w:p>
    <w:bookmarkEnd w:id="1859"/>
    <w:bookmarkStart w:name="637603315" w:id="18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кабельных сооружениях высота, ширина проходов и расстояние между конструкциями и кабелями должны быть не менее приведенных в таблице 124 приложения к настоящим Правилам.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 расстояния между кабелями по вертикали при одностороннем и двустороннем расположении конструкций.</w:t>
      </w:r>
    </w:p>
    <w:bookmarkEnd w:id="1860"/>
    <w:bookmarkStart w:name="637603316" w:id="18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472. Прокладка контрольных кабелей допускается пучками на лотках и многослойно в металлических коробах при соблюдении следующих условий:</w:t>
      </w:r>
    </w:p>
    <w:bookmarkEnd w:id="1861"/>
    <w:bookmarkStart w:name="637603317" w:id="18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наружный диаметр пучка кабелей должен быть не более 100 мм;</w:t>
      </w:r>
    </w:p>
    <w:bookmarkEnd w:id="1862"/>
    <w:bookmarkStart w:name="637603318" w:id="18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высота слоев в одном коробе не должна превышать 150 мм;</w:t>
      </w:r>
    </w:p>
    <w:bookmarkEnd w:id="1863"/>
    <w:bookmarkStart w:name="637603319" w:id="18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 пучках и многослойно должны прокладываться только кабели с однотипными оболочками;</w:t>
      </w:r>
    </w:p>
    <w:bookmarkEnd w:id="1864"/>
    <w:bookmarkStart w:name="637603320" w:id="18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крепление кабелей в пучках, многослойно в коробах, пучков кабелей к лоткам выполняются так, чтобы была предотвращена деформация оболочек кабелей под действием собственного веса и устройств крепления;</w:t>
      </w:r>
    </w:p>
    <w:bookmarkEnd w:id="1865"/>
    <w:bookmarkStart w:name="637603321" w:id="18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 целях пожарной безопасности внутри коробов должны устанавливаться огнепреградительные пояса: на вертикальных участках – на расстоянии не более 20 м, а также при проходе через перекрытие на горизонтальных участках – при проходе через перегородки;</w:t>
      </w:r>
    </w:p>
    <w:bookmarkEnd w:id="1866"/>
    <w:bookmarkStart w:name="637603322" w:id="18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в каждом направлении кабельной трассы предусматривается запас емкости не менее 15 % общей емкости коробов.</w:t>
      </w:r>
    </w:p>
    <w:bookmarkEnd w:id="1867"/>
    <w:bookmarkStart w:name="637603323" w:id="18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силовых кабелей пучками и многослойно не допускается.</w:t>
      </w:r>
    </w:p>
    <w:bookmarkEnd w:id="1868"/>
    <w:bookmarkStart w:name="637603324" w:id="18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473. В местах, насыщенных подземными коммуникациями, допускается выполнение полупроходных туннелей высотой, уменьшенной по сравнению с предусмотренной в таблице 124 приложения к настоящим Правилам, но не менее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таблице 124 приложения на концах туннелей должны быть выходы или люки.</w:t>
      </w:r>
    </w:p>
    <w:bookmarkEnd w:id="1869"/>
    <w:bookmarkStart w:name="637603325" w:id="18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474. Маслонаполненные кабели низкого давления, кабельные линии с пластмассовой изоляцией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1 м.</w:t>
      </w:r>
    </w:p>
    <w:bookmarkEnd w:id="1870"/>
    <w:bookmarkStart w:name="637603326" w:id="18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Стальные трубопроводы кабельных маслонаполненных линий высокого давления прокладываются на опорах или подвешиваться на подвесках; расстояние между опорами или подвесками определяется проектом линии.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bookmarkEnd w:id="1871"/>
    <w:bookmarkStart w:name="637603327" w:id="18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p>
    <w:bookmarkEnd w:id="1872"/>
    <w:bookmarkStart w:name="637603328" w:id="18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p>
    <w:bookmarkEnd w:id="1873"/>
    <w:bookmarkStart w:name="637603329" w:id="18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475. Высота кабельных колодцев должна быть не менее 1,8 м высота камер не нормируется. Кабельные колодцы для соединительных стопорных и полустопорных муфт должны иметь размеры, обеспечивающие монтаж муфт без разрытия.</w:t>
      </w:r>
    </w:p>
    <w:bookmarkEnd w:id="1874"/>
    <w:bookmarkStart w:name="637603330" w:id="18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Береговые колодцы на подводных переходах должны иметь размеры, обеспечивающие размещение резервных кабелей и подпитывающих аппаратов.</w:t>
      </w:r>
    </w:p>
    <w:bookmarkEnd w:id="1875"/>
    <w:bookmarkStart w:name="637603331" w:id="18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пункте 462 настоящих Правил.</w:t>
      </w:r>
    </w:p>
    <w:bookmarkEnd w:id="1876"/>
    <w:bookmarkStart w:name="637603332" w:id="18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колодцы должны быть снабжены металлическими лестницами.</w:t>
      </w:r>
    </w:p>
    <w:bookmarkEnd w:id="1877"/>
    <w:bookmarkStart w:name="637603333" w:id="18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кабельных колодцах кабели и соединительные муфты должны быть уложены на конструкциях, лотках или перегородках.</w:t>
      </w:r>
    </w:p>
    <w:bookmarkEnd w:id="1878"/>
    <w:bookmarkStart w:name="637603334" w:id="18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476. Люки кабельных колодцев и туннелей должны иметь диаметр не менее 650 мм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bookmarkEnd w:id="1879"/>
    <w:bookmarkStart w:name="637603335" w:id="18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477.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bookmarkEnd w:id="1880"/>
    <w:bookmarkStart w:name="637603336" w:id="1881"/>
    <w:p>
      <w:pPr>
        <w:spacing w:before="120" w:after="120" w:line="240"/>
        <w:ind w:left="0"/>
        <w:jc w:val="both"/>
      </w:pPr>
      <w:r>
        <w:rPr>
          <w:rFonts w:hint="default" w:ascii="Times New Roman" w:hAnsi="Times New Roman"/>
          <w:b w:val="false"/>
          <w:i w:val="false"/>
          <w:color w:val="000000"/>
          <w:sz w:val="24"/>
        </w:rPr>
        <w:t>478. Концевые муфты на кабельных маслонаполненых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1881"/>
    <w:bookmarkStart w:name="637603337" w:id="18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479. При прокладке маслонаполненных кабелей, кабелей с пластмассовой изоляцией в галереях необходимо предусмотреть отопление галерей в соответствии с техническими условиями на маслонаполненные кабели и на кабели с пластмассовой изоляцией.</w:t>
      </w:r>
    </w:p>
    <w:bookmarkEnd w:id="1882"/>
    <w:bookmarkStart w:name="637603338" w:id="18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пунктом 476 настоящих Правил.</w:t>
      </w:r>
    </w:p>
    <w:bookmarkEnd w:id="1883"/>
    <w:bookmarkStart w:name="637603339" w:id="18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480.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bookmarkEnd w:id="1884"/>
    <w:bookmarkStart w:name="637603340" w:id="1885"/>
    <w:p>
      <w:pPr>
        <w:spacing w:before="120" w:after="120" w:line="240"/>
        <w:ind w:left="0"/>
        <w:jc w:val="both"/>
      </w:pPr>
      <w:r>
        <w:rPr>
          <w:rFonts w:hint="default" w:ascii="Times New Roman" w:hAnsi="Times New Roman"/>
          <w:b w:val="false"/>
          <w:i w:val="false"/>
          <w:color w:val="000000"/>
          <w:sz w:val="24"/>
        </w:rPr>
        <w:t>Расчет вентиляции кабельных сооружений определяется исходя из перепада температур между поступающим и удаляемым воздухом не более 10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При этом, должно быть предотвращено образование мешков горячего воздуха в сужениях туннелей, поворотах, обходах.</w:t>
      </w:r>
    </w:p>
    <w:bookmarkEnd w:id="1885"/>
    <w:bookmarkStart w:name="637603341" w:id="18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p>
    <w:bookmarkEnd w:id="1886"/>
    <w:bookmarkStart w:name="637603342" w:id="18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bookmarkEnd w:id="1887"/>
    <w:bookmarkStart w:name="637603343" w:id="18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bookmarkEnd w:id="1888"/>
    <w:bookmarkStart w:name="637603344" w:id="18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481. Прокладка кабелей в коллекторах, технологических галереях и по технологическим эстакадам выполняется в соответствии с требованиями СНиП.</w:t>
      </w:r>
    </w:p>
    <w:bookmarkEnd w:id="1889"/>
    <w:bookmarkStart w:name="637603345" w:id="18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Наименьшие расстояния в свету от кабельных эстакад и галерей до зданий и сооружений должны соответствовать приведенным в таблице 125 приложения к настоящим Правилам.</w:t>
      </w:r>
    </w:p>
    <w:bookmarkEnd w:id="1890"/>
    <w:bookmarkStart w:name="637603346" w:id="1891"/>
    <w:p>
      <w:pPr>
        <w:spacing w:before="120" w:after="120" w:line="240"/>
        <w:ind w:left="0"/>
        <w:jc w:val="both"/>
      </w:pPr>
      <w:r>
        <w:rPr>
          <w:rFonts w:hint="default" w:ascii="Times New Roman" w:hAnsi="Times New Roman"/>
          <w:b w:val="false"/>
          <w:i w:val="false"/>
          <w:color w:val="000000"/>
          <w:sz w:val="24"/>
        </w:rPr>
        <w:t>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выполняются под углом не менее 30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w:t>
      </w:r>
    </w:p>
    <w:bookmarkEnd w:id="1891"/>
    <w:bookmarkStart w:name="637603347" w:id="18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параллельном следовании эстакад и галерей с воздушными лини 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располагаются под и над эстакадами и галереями.</w:t>
      </w:r>
    </w:p>
    <w:bookmarkEnd w:id="1892"/>
    <w:bookmarkStart w:name="637603348" w:id="18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bookmarkEnd w:id="1893"/>
    <w:bookmarkStart w:name="637603349" w:id="1894"/>
    <w:p>
      <w:pPr>
        <w:spacing w:before="120" w:after="120" w:line="240"/>
        <w:ind w:left="0"/>
        <w:jc w:val="center"/>
      </w:pPr>
      <w:r>
        <w:rPr>
          <w:rFonts w:hint="default" w:ascii="Times New Roman" w:hAnsi="Times New Roman"/>
          <w:b/>
          <w:i w:val="false"/>
          <w:color w:val="000000"/>
          <w:sz w:val="24"/>
        </w:rPr>
        <w:t>Параграф 11. Прокладка кабельных линий в производственных помещениях</w:t>
      </w:r>
    </w:p>
    <w:bookmarkEnd w:id="1894"/>
    <w:bookmarkStart w:name="637603350" w:id="18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482. При прокладке кабельных линий в производственных помещениях должны быть выполнены следующие требования:</w:t>
      </w:r>
    </w:p>
    <w:bookmarkEnd w:id="1895"/>
    <w:bookmarkStart w:name="637603351" w:id="18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кабели должны быть доступны для ремонта, а открыто проложенные – и для осмотра;</w:t>
      </w:r>
    </w:p>
    <w:bookmarkEnd w:id="1896"/>
    <w:bookmarkStart w:name="637603352" w:id="18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(в том числе бронированные), расположенные в местах, где производится перемещение механизмов, оборудования, грузов и транспорт, должны быть защищены от повреждений в соответствии с требованиями, приведенными в пункте 360 настоящих Правил;</w:t>
      </w:r>
    </w:p>
    <w:bookmarkEnd w:id="1897"/>
    <w:bookmarkStart w:name="637603353" w:id="18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расстояние в свету между кабелями должно соответствовать приведенному в таблице 124 приложения к настоящим Правилам.</w:t>
      </w:r>
    </w:p>
    <w:bookmarkEnd w:id="1898"/>
    <w:bookmarkStart w:name="637603354" w:id="18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расстояние между параллельно проложенными силовыми кабелями и всякого рода трубопроводами,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повреждений (металлическими трубами, кожухами) на всем участке сближения плюс по 0,5 м с каждой его стороны, а в необходимых случаях защищены от перегрева.</w:t>
      </w:r>
    </w:p>
    <w:bookmarkEnd w:id="1899"/>
    <w:bookmarkStart w:name="637603355" w:id="19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Пересечения кабелями проходов должны выполняться на высоте не менее 1,8 м от пола.</w:t>
      </w:r>
    </w:p>
    <w:bookmarkEnd w:id="1900"/>
    <w:bookmarkStart w:name="637603356" w:id="19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Параллельная прокладка кабелей над и под маслопроводами и трубопроводами с горючей жидкостью в вертикальной плоскости не допускается.</w:t>
      </w:r>
    </w:p>
    <w:bookmarkEnd w:id="1901"/>
    <w:bookmarkStart w:name="637603357" w:id="19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483.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производятся в трубах или проемах, после прокладки кабелей зазоры в трубах и проемах должны быть заделаны легко пробиваемым несгораемым материалом.</w:t>
      </w:r>
    </w:p>
    <w:bookmarkEnd w:id="1902"/>
    <w:bookmarkStart w:name="637603358" w:id="19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кабелей в вентиляционных каналах не допускается. Допускается пересечение этих каналов одиночными кабелями, заключенными в стальные трубы.</w:t>
      </w:r>
    </w:p>
    <w:bookmarkEnd w:id="1903"/>
    <w:bookmarkStart w:name="637603359" w:id="19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Открытая прокладка кабеля по лестничным клеткам не допускается.</w:t>
      </w:r>
    </w:p>
    <w:bookmarkEnd w:id="1904"/>
    <w:bookmarkStart w:name="637603360" w:id="1905"/>
    <w:p>
      <w:pPr>
        <w:spacing w:before="120" w:after="120" w:line="240"/>
        <w:ind w:left="0"/>
        <w:jc w:val="center"/>
      </w:pPr>
      <w:r>
        <w:rPr>
          <w:rFonts w:hint="default" w:ascii="Times New Roman" w:hAnsi="Times New Roman"/>
          <w:b/>
          <w:i w:val="false"/>
          <w:color w:val="000000"/>
          <w:sz w:val="24"/>
        </w:rPr>
        <w:t>Параграф 12. Подводная прокладка кабельных линий</w:t>
      </w:r>
    </w:p>
    <w:bookmarkEnd w:id="1905"/>
    <w:bookmarkStart w:name="637603361" w:id="19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484. При пересечении кабельными линиями рек, каналов кабели должны прокладываться преимущественно на участках с дном и берегами, мало подверженными размыванию. При прокладке кабелей через реки с неустойчивым руслом и берегами, подверженными размыванию, заглубление кабелей в дно должно быть сделало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допускается.</w:t>
      </w:r>
    </w:p>
    <w:bookmarkEnd w:id="1906"/>
    <w:bookmarkStart w:name="637603362" w:id="19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485. При прокладке кабельных линий в море должны учитываться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p>
    <w:bookmarkEnd w:id="1907"/>
    <w:bookmarkStart w:name="637603363" w:id="19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486.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обходятся или предусматриваются в них траншеи или проходы.</w:t>
      </w:r>
    </w:p>
    <w:bookmarkEnd w:id="1908"/>
    <w:bookmarkStart w:name="637603364" w:id="19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487. При пересечении кабельными линиями рек, каналов кабели, заглубляются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p>
    <w:bookmarkEnd w:id="1909"/>
    <w:bookmarkStart w:name="637603365" w:id="19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p>
    <w:bookmarkEnd w:id="1910"/>
    <w:bookmarkStart w:name="637603366" w:id="19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кабельных маслонаполненных линий 110–220 кВ на судоходных реках и каналах в целях защиты их от механических повреждении заполняются траншеи мешками с песком с последующей наброской камней.</w:t>
      </w:r>
    </w:p>
    <w:bookmarkEnd w:id="1911"/>
    <w:bookmarkStart w:name="637603367" w:id="19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488. Расстояние между кабелями, заглубляемыми в дно рек, каналов и с шириной водоема до 100 м, принимается не менее 0,25 м.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p>
    <w:bookmarkEnd w:id="1912"/>
    <w:bookmarkStart w:name="637603368" w:id="19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креплений фаз между собой) принимается не менее 0,5 м, а расстояния между крайними кабелями параллельных линий – не менее 5 м.</w:t>
      </w:r>
    </w:p>
    <w:bookmarkEnd w:id="1913"/>
    <w:bookmarkStart w:name="637603369" w:id="19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подводных прокладках на глубине более 15 м, а также при скоростях течения более 1 м/с расcтояния между отдельными фазами и линиями принимаются в соответствии с проектом.</w:t>
      </w:r>
    </w:p>
    <w:bookmarkEnd w:id="1914"/>
    <w:bookmarkStart w:name="637603370" w:id="19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20 м.</w:t>
      </w:r>
    </w:p>
    <w:bookmarkEnd w:id="1915"/>
    <w:bookmarkStart w:name="637603371" w:id="19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по горизонтали от кабелей, заглубляемых в дно рек, каналов и других водоемов, до трубопроводов (нефтепроводов, газопроводов) должно определяться проектом в зависимости от вида дноуглубительных работ, выполняемых при прокладках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p>
    <w:bookmarkEnd w:id="1916"/>
    <w:bookmarkStart w:name="637603372" w:id="19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489. На берегах без усовершенствованных набережных в месте подводного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должны быть устроены кабельные колодцы. Верхний конец трубы должен входить в береговой колодец, а нижний – находиться на глубине не менее 1 м от наименьшего уровня воды. На береговых участках трубы должны быть прочно заделаны.</w:t>
      </w:r>
    </w:p>
    <w:bookmarkEnd w:id="1917"/>
    <w:bookmarkStart w:name="637603373" w:id="19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490.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w:t>
      </w:r>
    </w:p>
    <w:bookmarkEnd w:id="1918"/>
    <w:bookmarkStart w:name="637603374" w:id="19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491. Пересечение кабелей между собой под водой не допускается.</w:t>
      </w:r>
    </w:p>
    <w:bookmarkEnd w:id="1919"/>
    <w:bookmarkStart w:name="637603375" w:id="19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492. Подводные кабельные переходы должны быть обозначены на берегах сигнальными знаками согласно действующим правилам плавания по внутренним судоходным путям и морским проливам.</w:t>
      </w:r>
    </w:p>
    <w:bookmarkEnd w:id="1920"/>
    <w:bookmarkStart w:name="637603376" w:id="19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493.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bookmarkEnd w:id="1921"/>
    <w:bookmarkStart w:name="637603377" w:id="1922"/>
    <w:p>
      <w:pPr>
        <w:spacing w:before="120" w:after="120" w:line="240"/>
        <w:ind w:left="0"/>
        <w:jc w:val="center"/>
      </w:pPr>
      <w:r>
        <w:rPr>
          <w:rFonts w:hint="default" w:ascii="Times New Roman" w:hAnsi="Times New Roman"/>
          <w:b/>
          <w:i w:val="false"/>
          <w:color w:val="000000"/>
          <w:sz w:val="24"/>
        </w:rPr>
        <w:t>Параграф 13. Прокладка кабельных линий по специальным сооружениям</w:t>
      </w:r>
    </w:p>
    <w:bookmarkEnd w:id="1922"/>
    <w:bookmarkStart w:name="637603378" w:id="19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494.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прокладываются в асбестоцементных трубах. В местах перехода с конструкций моста в грунт кабели прокладываются также в асбестоцементных трубах.</w:t>
      </w:r>
    </w:p>
    <w:bookmarkEnd w:id="1923"/>
    <w:bookmarkStart w:name="637603379" w:id="19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Все подземные кабели при прохождении по металлическим и железобетонным местам должны быть электрически изолированы от металлических частей моста.</w:t>
      </w:r>
    </w:p>
    <w:bookmarkEnd w:id="1924"/>
    <w:bookmarkStart w:name="637603380" w:id="19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495. Прокладка кабельных линий по деревянным сооружениям (мостам, причалам, пирсам) должна выполняться в стальных трубах.</w:t>
      </w:r>
    </w:p>
    <w:bookmarkEnd w:id="1925"/>
    <w:bookmarkStart w:name="637603381" w:id="19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496.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p>
    <w:bookmarkEnd w:id="1926"/>
    <w:bookmarkStart w:name="637603382" w:id="19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497. Прокладка кабельных линий по плотинам, дамбам, пирсам и причалам непосредственно в земляной траншее допускается при толщине слоя земли не менее 1 м.</w:t>
      </w:r>
    </w:p>
    <w:bookmarkEnd w:id="1927"/>
    <w:bookmarkStart w:name="637603383" w:id="19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498. Прокладка кабельных маслонаполненных линий и кабельных линий с пластмассовой изоляцией по мостам не допускается.</w:t>
      </w:r>
    </w:p>
    <w:bookmarkEnd w:id="1928"/>
    <w:bookmarkStart w:name="637603384" w:id="1929"/>
    <w:p>
      <w:pPr>
        <w:spacing w:before="120" w:after="120" w:line="240"/>
        <w:ind w:left="0"/>
        <w:jc w:val="both"/>
      </w:pPr>
      <w:r>
        <w:rPr>
          <w:rFonts w:hint="default" w:ascii="Times New Roman" w:hAnsi="Times New Roman"/>
          <w:b/>
          <w:i w:val="false"/>
          <w:color w:val="000000"/>
          <w:sz w:val="24"/>
        </w:rPr>
        <w:t>11. Воздушные линии электропередачи напряжением до 1 кВ</w:t>
      </w:r>
    </w:p>
    <w:bookmarkEnd w:id="1929"/>
    <w:bookmarkStart w:name="637603385" w:id="1930"/>
    <w:p>
      <w:pPr>
        <w:spacing w:before="120" w:after="120" w:line="240"/>
        <w:ind w:left="0"/>
        <w:jc w:val="center"/>
      </w:pPr>
      <w:r>
        <w:rPr>
          <w:rFonts w:hint="default" w:ascii="Times New Roman" w:hAnsi="Times New Roman"/>
          <w:b/>
          <w:i w:val="false"/>
          <w:color w:val="000000"/>
          <w:sz w:val="24"/>
        </w:rPr>
        <w:t>Параграф 1. Общие положения</w:t>
      </w:r>
    </w:p>
    <w:bookmarkEnd w:id="1930"/>
    <w:bookmarkStart w:name="637603386" w:id="19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499. Механический расчет элементов ВЛ должен производиться по по методике, изложенной в главе 12.</w:t>
      </w:r>
    </w:p>
    <w:bookmarkEnd w:id="1931"/>
    <w:bookmarkStart w:name="637603387" w:id="19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500. ВЛ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w:t>
      </w:r>
    </w:p>
    <w:bookmarkEnd w:id="1932"/>
    <w:bookmarkStart w:name="637603388" w:id="19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501. На опорах ВЛ на высоте 2,2–3 м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4 м до кабелей связи), а через 250 м по магистрали ВЛ – ширина охранной зоны и телефон владельца ВЛ.</w:t>
      </w:r>
    </w:p>
    <w:bookmarkEnd w:id="1933"/>
    <w:bookmarkStart w:name="637603389" w:id="19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502. При прохождении ВЛ по лесным массивам и зеленым насаждениям, применяются самонесущие изолированные провода (далее - СИП), для которых не требуется вырубка просеки. При этом, расстояние от проводов до деревьев и кустов при наибольшей стреле провеса СИП и наибольшем их отклонении должно быть не менее 0,3 м.</w:t>
      </w:r>
    </w:p>
    <w:bookmarkEnd w:id="1934"/>
    <w:bookmarkStart w:name="637603390" w:id="19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использования неизолированных проводов вырубка просеки необязательна.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p>
    <w:bookmarkEnd w:id="1935"/>
    <w:bookmarkStart w:name="637603391" w:id="19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503. Металлические конструкции, бандажи на опорах ВЛ должны быть защищены от коррозии.</w:t>
      </w:r>
    </w:p>
    <w:bookmarkEnd w:id="1936"/>
    <w:bookmarkStart w:name="637603392" w:id="19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504. Все элементы воздушной линии электропередачи напряжением до 1 кВ не должны терять свою работоспособность в течение всего срока службы.</w:t>
      </w:r>
    </w:p>
    <w:bookmarkEnd w:id="1937"/>
    <w:bookmarkStart w:name="637603393" w:id="1938"/>
    <w:p>
      <w:pPr>
        <w:spacing w:before="120" w:after="120" w:line="240"/>
        <w:ind w:left="0"/>
        <w:jc w:val="center"/>
      </w:pPr>
      <w:r>
        <w:rPr>
          <w:rFonts w:hint="default" w:ascii="Times New Roman" w:hAnsi="Times New Roman"/>
          <w:b/>
          <w:i w:val="false"/>
          <w:color w:val="000000"/>
          <w:sz w:val="24"/>
        </w:rPr>
        <w:t>Параграф 2. Расчетные климатические условия</w:t>
      </w:r>
    </w:p>
    <w:bookmarkEnd w:id="1938"/>
    <w:bookmarkStart w:name="637603394" w:id="19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505. Климатические условия для расчета ВЛ до 1 кВ в нормальном режиме должны приниматься такими же, как и для питающих их ВЛ 10 кВ, для повторяемости расчетных климатических условий 1 раз в 10 лет.</w:t>
      </w:r>
    </w:p>
    <w:bookmarkEnd w:id="1939"/>
    <w:bookmarkStart w:name="637603395" w:id="19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506. 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значения нормативного ветрового давления принимаются сниженными на 40 %.</w:t>
      </w:r>
    </w:p>
    <w:bookmarkEnd w:id="1940"/>
    <w:bookmarkStart w:name="637603396" w:id="1941"/>
    <w:p>
      <w:pPr>
        <w:spacing w:before="120" w:after="120" w:line="240"/>
        <w:ind w:left="0"/>
        <w:jc w:val="both"/>
      </w:pPr>
      <w:r>
        <w:rPr>
          <w:rFonts w:hint="default" w:ascii="Times New Roman" w:hAnsi="Times New Roman"/>
          <w:b w:val="false"/>
          <w:i w:val="false"/>
          <w:color w:val="000000"/>
          <w:sz w:val="24"/>
        </w:rPr>
        <w:t>507. При расчете проводов на ветровые нагрузки направление ветра принимаются под углом 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к оси трассы ВЛ.</w:t>
      </w:r>
    </w:p>
    <w:bookmarkEnd w:id="1941"/>
    <w:bookmarkStart w:name="637603397" w:id="19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расчете опор принимается направление ветра, дающее наиболее невыгодное сочетание внешних сил, действующих на опору.</w:t>
      </w:r>
    </w:p>
    <w:bookmarkEnd w:id="1942"/>
    <w:bookmarkStart w:name="637603398" w:id="1943"/>
    <w:p>
      <w:pPr>
        <w:spacing w:before="120" w:after="120" w:line="240"/>
        <w:ind w:left="0"/>
        <w:jc w:val="center"/>
      </w:pPr>
      <w:r>
        <w:rPr>
          <w:rFonts w:hint="default" w:ascii="Times New Roman" w:hAnsi="Times New Roman"/>
          <w:b/>
          <w:i w:val="false"/>
          <w:color w:val="000000"/>
          <w:sz w:val="24"/>
        </w:rPr>
        <w:t>Параграф 3. Провода, арматура</w:t>
      </w:r>
    </w:p>
    <w:bookmarkEnd w:id="1943"/>
    <w:bookmarkStart w:name="637603399" w:id="19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508. Для вновь сооружаемых и реконструируемых ВЛ применяются самонесущие изолированные провода, расположенные на открытом воздухе и прикрепленные при помощи арматуры к опорам, руководствуясь пунктом 500 настоящих Правил.</w:t>
      </w:r>
    </w:p>
    <w:bookmarkEnd w:id="1944"/>
    <w:bookmarkStart w:name="637603400" w:id="1945"/>
    <w:p>
      <w:pPr>
        <w:spacing w:before="120" w:after="120" w:line="240"/>
        <w:ind w:left="0"/>
        <w:jc w:val="both"/>
      </w:pPr>
      <w:r>
        <w:rPr>
          <w:rFonts w:hint="default" w:ascii="Times New Roman" w:hAnsi="Times New Roman"/>
          <w:b w:val="false"/>
          <w:i w:val="false"/>
          <w:color w:val="000000"/>
          <w:sz w:val="24"/>
        </w:rPr>
        <w:t>509. По условиям механической прочности на ВЛ применяется неизолированные провода сечением: алюминиевые – в районах с расчетной толщиной стенки гололеда 10 мм – не менее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в районах с толщиной стенки гололеда 15 мм и более – не менее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сталеалюминиевые и из алюминиевого сплава – не менее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во всех климатических районах.</w:t>
      </w:r>
    </w:p>
    <w:bookmarkEnd w:id="1945"/>
    <w:bookmarkStart w:name="637603401" w:id="19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510.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прилегающие к ним районы II и III типов по загрязненности атмосферы, а также места, где на основании данных изысканий такое загрязнение возможно), применяются коррозионностойкие провода, либо СИП. На равнинной местности при отсутствии данных эксплуатации ширину прибрежной полосы, к которой относится указанное требование, принимается 5 км, а полосы выбросов химических предприятий – 1,5 км.</w:t>
      </w:r>
    </w:p>
    <w:bookmarkEnd w:id="1946"/>
    <w:bookmarkStart w:name="637603402" w:id="19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511. На одной ВЛ применяется, не более двух сечений проводов.</w:t>
      </w:r>
    </w:p>
    <w:bookmarkEnd w:id="1947"/>
    <w:bookmarkStart w:name="637603403" w:id="19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Магистраль ВЛ, выполняются проводами одного сечения.</w:t>
      </w:r>
    </w:p>
    <w:bookmarkEnd w:id="1948"/>
    <w:bookmarkStart w:name="637603404" w:id="1949"/>
    <w:p>
      <w:pPr>
        <w:spacing w:before="120" w:after="120" w:line="240"/>
        <w:ind w:left="0"/>
        <w:jc w:val="both"/>
      </w:pPr>
      <w:r>
        <w:rPr>
          <w:rFonts w:hint="default" w:ascii="Times New Roman" w:hAnsi="Times New Roman"/>
          <w:b w:val="false"/>
          <w:i w:val="false"/>
          <w:color w:val="000000"/>
          <w:sz w:val="24"/>
        </w:rPr>
        <w:t>Сечение фазных проводов магистрали ВЛ принимается не менее 50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Сечение 120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применять не допускается.</w:t>
      </w:r>
    </w:p>
    <w:bookmarkEnd w:id="1949"/>
    <w:bookmarkStart w:name="637603405" w:id="1950"/>
    <w:p>
      <w:pPr>
        <w:spacing w:before="120" w:after="120" w:line="240"/>
        <w:ind w:left="0"/>
        <w:jc w:val="both"/>
      </w:pPr>
      <w:r>
        <w:rPr>
          <w:rFonts w:hint="default" w:ascii="Times New Roman" w:hAnsi="Times New Roman"/>
          <w:b w:val="false"/>
          <w:i w:val="false"/>
          <w:color w:val="000000"/>
          <w:sz w:val="24"/>
        </w:rPr>
        <w:t>512. Для ответвлений от ВЛ к вводам в здания, применяются по условиям механической прочности изолированные провода, стойкие к воздействию условий окружающей среды, сечением не менее 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меди и 16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по алюминию.</w:t>
      </w:r>
    </w:p>
    <w:bookmarkEnd w:id="1950"/>
    <w:bookmarkStart w:name="637603406" w:id="19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513. Длина пролета ответвления от ВЛ к вводу в здание должна определяться расчетом в зависимости от прочности опоры, на которой выполняется ответвление, при этом, она не должна превышать 25 м. При длине пролета ответвления более 25 м предусматривается установка дополнительной промежуточной опоры.</w:t>
      </w:r>
    </w:p>
    <w:bookmarkEnd w:id="1951"/>
    <w:bookmarkStart w:name="637603407" w:id="19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Расчет должен выполняться в гололедном режиме для двух случаев:</w:t>
      </w:r>
    </w:p>
    <w:bookmarkEnd w:id="1952"/>
    <w:bookmarkStart w:name="637603408" w:id="1953"/>
    <w:p>
      <w:pPr>
        <w:spacing w:before="120" w:after="120" w:line="240"/>
        <w:ind w:left="0"/>
        <w:jc w:val="both"/>
      </w:pPr>
      <w:r>
        <w:rPr>
          <w:rFonts w:hint="default" w:ascii="Times New Roman" w:hAnsi="Times New Roman"/>
          <w:b w:val="false"/>
          <w:i w:val="false"/>
          <w:color w:val="000000"/>
          <w:sz w:val="24"/>
        </w:rPr>
        <w:t>1) направление ветра под углом 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к оси ВЛ, провода ВЛ покрыты гололедом с толщиной стенки b</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толщина стенки гололеда на проводах ответвления – b</w:t>
      </w:r>
      <w:r>
        <w:rPr>
          <w:rFonts w:hint="default" w:ascii="Times New Roman" w:hAnsi="Times New Roman"/>
          <w:b w:val="false"/>
          <w:i w:val="false"/>
          <w:color w:val="000000"/>
          <w:vertAlign w:val="subscript"/>
        </w:rPr>
        <w:t>о</w:t>
      </w:r>
      <w:r>
        <w:rPr>
          <w:rFonts w:hint="default" w:ascii="Times New Roman" w:hAnsi="Times New Roman"/>
          <w:b w:val="false"/>
          <w:i w:val="false"/>
          <w:color w:val="000000"/>
          <w:sz w:val="24"/>
        </w:rPr>
        <w:t xml:space="preserve"> = 0,5 b</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w:t>
      </w:r>
    </w:p>
    <w:bookmarkEnd w:id="1953"/>
    <w:bookmarkStart w:name="637603409" w:id="1954"/>
    <w:p>
      <w:pPr>
        <w:spacing w:before="120" w:after="120" w:line="240"/>
        <w:ind w:left="0"/>
        <w:jc w:val="both"/>
      </w:pPr>
      <w:r>
        <w:rPr>
          <w:rFonts w:hint="default" w:ascii="Times New Roman" w:hAnsi="Times New Roman"/>
          <w:b w:val="false"/>
          <w:i w:val="false"/>
          <w:color w:val="000000"/>
          <w:sz w:val="24"/>
        </w:rPr>
        <w:t>2) направление ветра вдоль ВЛ (угол 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толщина стенки гололеда на проводах ответвления – b</w:t>
      </w:r>
      <w:r>
        <w:rPr>
          <w:rFonts w:hint="default" w:ascii="Times New Roman" w:hAnsi="Times New Roman"/>
          <w:b w:val="false"/>
          <w:i w:val="false"/>
          <w:color w:val="000000"/>
          <w:vertAlign w:val="subscript"/>
        </w:rPr>
        <w:t>о</w:t>
      </w:r>
      <w:r>
        <w:rPr>
          <w:rFonts w:hint="default" w:ascii="Times New Roman" w:hAnsi="Times New Roman"/>
          <w:b w:val="false"/>
          <w:i w:val="false"/>
          <w:color w:val="000000"/>
          <w:sz w:val="24"/>
        </w:rPr>
        <w:t xml:space="preserve"> = b</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w:t>
      </w:r>
    </w:p>
    <w:bookmarkEnd w:id="1954"/>
    <w:bookmarkStart w:name="637603410" w:id="19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в обоих случаях учитывается редукцию тяжения проводов ответвления при отклонении верха опоры.</w:t>
      </w:r>
    </w:p>
    <w:bookmarkEnd w:id="1955"/>
    <w:bookmarkStart w:name="637603411" w:id="19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514. Механический расчет проводов на прочность должен производиться по методу допускаемых напряжений. При этом, напряжение в проводах не должно превышать допустимых величин, приведенных в таблице 126 приложения к настоящим Правилам, а расстояния от проводов до поверхности земли пересекаемых сооружений и заземленных элементов опор должны отвечать требованиям настоящей главы. При расчете используются физико-механические параметры проводов и в заводских каталогах.</w:t>
      </w:r>
    </w:p>
    <w:bookmarkEnd w:id="1956"/>
    <w:bookmarkStart w:name="637603412" w:id="19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515. Значения максимальных напряжений в проводах должны соответствовать прочности опор ВЛ анкерного типа и заделки их в грунте.</w:t>
      </w:r>
    </w:p>
    <w:bookmarkEnd w:id="1957"/>
    <w:bookmarkStart w:name="637603413" w:id="19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516. Расчетные усилия в поддерживающих и натяжных анкерных зажимах, узлах крепления и кронштейнах в нормальном режиме не должны превышать 40 % от их механической разрушающей нагрузки.</w:t>
      </w:r>
    </w:p>
    <w:bookmarkEnd w:id="1958"/>
    <w:bookmarkStart w:name="637603414" w:id="19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517. Крюки и штыри должны рассчитываться по методу разрушающих нагрузок с коэффициентом надежности 1,1.</w:t>
      </w:r>
    </w:p>
    <w:bookmarkEnd w:id="1959"/>
    <w:bookmarkStart w:name="637603415" w:id="19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518. Крепление неизолированных проводов к изоляторам и изолирующим траверсам на опорах ВЛ, за исключением опор для пересечений, должно быть одинарным. Крепление проводов к штыревым изоляторам на промежуточных опорах выполняется на шейке изолятора, с внутренней его стороны по отношению к стойке опоры, при помощи проволочной вязки или зажимов. Провода ответвлений от ВЛ к вводам должны иметь глухое крепление.</w:t>
      </w:r>
    </w:p>
    <w:bookmarkEnd w:id="1960"/>
    <w:bookmarkStart w:name="637603416" w:id="19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519. Соединение проводов в пролетах ВЛ производится при помощи соединительных зажимов, обеспечивающих механическую прочность не менее 90 % от разрывного усилия провода.</w:t>
      </w:r>
    </w:p>
    <w:bookmarkEnd w:id="1961"/>
    <w:bookmarkStart w:name="637603417" w:id="19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Соединения проводов из разных металлов или разных сечений должны выполняться только в петлях анкерных опор при помощи переходных зажимов или сваркой. Переходные зажимы и участки проводов, на которых установлены такие зажимы, не должны испытывать механических усилий от тяжения проводов.</w:t>
      </w:r>
    </w:p>
    <w:bookmarkEnd w:id="1962"/>
    <w:bookmarkStart w:name="637603418" w:id="19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одном пролете допускается не более одного соединения на каждый провод.</w:t>
      </w:r>
    </w:p>
    <w:bookmarkEnd w:id="1963"/>
    <w:bookmarkStart w:name="637603419" w:id="19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пролетах пересечения ВЛ с инженерными сооружениями соединение проводов ВЛ не допускается.</w:t>
      </w:r>
    </w:p>
    <w:bookmarkEnd w:id="1964"/>
    <w:bookmarkStart w:name="637603420" w:id="1965"/>
    <w:p>
      <w:pPr>
        <w:spacing w:before="120" w:after="120" w:line="240"/>
        <w:ind w:left="0"/>
        <w:jc w:val="center"/>
      </w:pPr>
      <w:r>
        <w:rPr>
          <w:rFonts w:hint="default" w:ascii="Times New Roman" w:hAnsi="Times New Roman"/>
          <w:b/>
          <w:i w:val="false"/>
          <w:color w:val="000000"/>
          <w:sz w:val="24"/>
        </w:rPr>
        <w:t>Параграф 4. Расположение проводов на опорах</w:t>
      </w:r>
    </w:p>
    <w:bookmarkEnd w:id="1965"/>
    <w:bookmarkStart w:name="637603421" w:id="19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520 На опорах допускается любое расположение фазных проводов независимо от района климатических условий. Нулевой провод, располагается ниже фазных проводов. Провода наружного освещения, прокладываемые на опорах совместно с проводами ВЛ, располагаются, над нулевым проводом.</w:t>
      </w:r>
    </w:p>
    <w:bookmarkEnd w:id="1966"/>
    <w:bookmarkStart w:name="637603422" w:id="19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двухцепных ВЛ в сетях с заземленной нейтралью каждая цепь должна иметь свой нулевой провод.</w:t>
      </w:r>
    </w:p>
    <w:bookmarkEnd w:id="1967"/>
    <w:bookmarkStart w:name="637603423" w:id="19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521. Устанавливаемые на опорах аппараты для подключения электроприемников должны размещаться на высоте 1,6–1,8 м от поверхности земли.</w:t>
      </w:r>
    </w:p>
    <w:bookmarkEnd w:id="1968"/>
    <w:bookmarkStart w:name="637603424" w:id="19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Устанавливаемые на опорах плавкие предохранители, а также защитные, секционирующие и другие устройства должны размещаться ниже проводов ВЛ.</w:t>
      </w:r>
    </w:p>
    <w:bookmarkEnd w:id="1969"/>
    <w:bookmarkStart w:name="637603425" w:id="19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522. Расстояния между проводами на опоре и в пролете по условиям их сближения в пролете при наибольшей стреле провеса 1,2 м должны быть не менее:</w:t>
      </w:r>
    </w:p>
    <w:bookmarkEnd w:id="1970"/>
    <w:bookmarkStart w:name="637603426" w:id="19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вертикальном расположении проводов и расположении проводов с горизонтальным смещением не более 20 см – 60 см в районах с нормативной толщиной стенки гололеда до 15 мм и 90 см – в районах с нормативной толщиной стенки гололеда 20 мм и более;</w:t>
      </w:r>
    </w:p>
    <w:bookmarkEnd w:id="1971"/>
    <w:bookmarkStart w:name="637603427" w:id="19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другом расположении проводов во всех районах по гололеду при скорости ветра при гололеде до 18 м/с – 40 см, при скорости более 18 м/с – 60 см.</w:t>
      </w:r>
    </w:p>
    <w:bookmarkEnd w:id="1972"/>
    <w:bookmarkStart w:name="637603428" w:id="19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523. Расстояние по вертикали между проводами разных фаз на опоре при ответвлении от ВЛ и при пересечениях разных ВЛ на общей опоре должно быть не менее 10 см. Расстояние между изоляторами ввода по их осям должно быть не менее 40 см.</w:t>
      </w:r>
    </w:p>
    <w:bookmarkEnd w:id="1973"/>
    <w:bookmarkStart w:name="637603429" w:id="19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524. Расстояние по горизонтали между проводами при спусках на опоре должно составлять не менее 15 см. Расстояние от проводов до стойки, траверсы или других элементов опоры должно быть не менее 5 см.</w:t>
      </w:r>
    </w:p>
    <w:bookmarkEnd w:id="1974"/>
    <w:bookmarkStart w:name="637603430" w:id="19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525. Совместная подвеска проводов ВЛ до 1 кВ и неизолированных проводов ВЛ до 10 кВ на общих опорах допускается при соблюдении следующих условий:</w:t>
      </w:r>
    </w:p>
    <w:bookmarkEnd w:id="1975"/>
    <w:bookmarkStart w:name="637603431" w:id="19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ВЛ до 1 кВ должны выполняться по расчетным климатическим условиям ВЛ до 10 кВ;</w:t>
      </w:r>
    </w:p>
    <w:bookmarkEnd w:id="1976"/>
    <w:bookmarkStart w:name="637603432" w:id="19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провода ВЛ до 10 кВ должны располагаться выше проводов ВЛ до 1 кВ;</w:t>
      </w:r>
    </w:p>
    <w:bookmarkEnd w:id="1977"/>
    <w:bookmarkStart w:name="637603433" w:id="19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провода ВЛ до 10 кВ, закрепляемые на штыревых изоляторах, должны иметь двойное крепление;</w:t>
      </w:r>
    </w:p>
    <w:bookmarkEnd w:id="1978"/>
    <w:bookmarkStart w:name="637603434" w:id="1979"/>
    <w:p>
      <w:pPr>
        <w:spacing w:before="120" w:after="120" w:line="240"/>
        <w:ind w:left="0"/>
        <w:jc w:val="both"/>
      </w:pPr>
      <w:r>
        <w:rPr>
          <w:rFonts w:hint="default" w:ascii="Times New Roman" w:hAnsi="Times New Roman"/>
          <w:b w:val="false"/>
          <w:i w:val="false"/>
          <w:color w:val="000000"/>
          <w:sz w:val="24"/>
        </w:rPr>
        <w:t>4) расстояние по вертикали между ближайшими проводами разных напряжений, расположенными на общей опоре, а также в середине пролета при температуре окружающего воздуха плюс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без ветра, должно быть не менее 2 м.</w:t>
      </w:r>
    </w:p>
    <w:bookmarkEnd w:id="1979"/>
    <w:bookmarkStart w:name="637603435" w:id="1980"/>
    <w:p>
      <w:pPr>
        <w:spacing w:before="120" w:after="120" w:line="240"/>
        <w:ind w:left="0"/>
        <w:jc w:val="both"/>
      </w:pPr>
      <w:r>
        <w:rPr>
          <w:rFonts w:hint="default" w:ascii="Times New Roman" w:hAnsi="Times New Roman"/>
          <w:b w:val="false"/>
          <w:i w:val="false"/>
          <w:color w:val="000000"/>
          <w:sz w:val="24"/>
        </w:rPr>
        <w:t xml:space="preserve">526. При совместной подвеске на общих опорах СИП и неизолированных проводов ВЛ до 1 кВ расстояние по вертикали между ними на опоре и в пролете при температуре окружающего воздуха плюс 15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без ветра должно быть не менее 0,4 м.</w:t>
      </w:r>
    </w:p>
    <w:bookmarkEnd w:id="1980"/>
    <w:bookmarkStart w:name="637603436" w:id="19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527. На ВЛ, по которым осуществляется питание отдельных потребителей с сосредоточенной нагрузкой, предусматривается подвеска семи проводов с расщеплением одной фазы на два провода, с общим нулевым проводом.</w:t>
      </w:r>
    </w:p>
    <w:bookmarkEnd w:id="1981"/>
    <w:bookmarkStart w:name="637603437" w:id="1982"/>
    <w:p>
      <w:pPr>
        <w:spacing w:before="120" w:after="120" w:line="240"/>
        <w:ind w:left="0"/>
        <w:jc w:val="center"/>
      </w:pPr>
      <w:r>
        <w:rPr>
          <w:rFonts w:hint="default" w:ascii="Times New Roman" w:hAnsi="Times New Roman"/>
          <w:b/>
          <w:i w:val="false"/>
          <w:color w:val="000000"/>
          <w:sz w:val="24"/>
        </w:rPr>
        <w:t>Параграф 5. Изоляция</w:t>
      </w:r>
    </w:p>
    <w:bookmarkEnd w:id="1982"/>
    <w:bookmarkStart w:name="637603438" w:id="19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528. Коэффициент надежности штыревых изоляторов должен быть не менее 2,5.</w:t>
      </w:r>
    </w:p>
    <w:bookmarkEnd w:id="1983"/>
    <w:bookmarkStart w:name="637603439" w:id="19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529. На ВЛ, независимо от материала опор, степени загрязнения атмосферы и интенсивности грозовой деятельности, применяются изоляторы либо траверсы из изоляционных материалов.</w:t>
      </w:r>
    </w:p>
    <w:bookmarkEnd w:id="1984"/>
    <w:bookmarkStart w:name="637603440" w:id="19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530. В местах ответвлений от ВЛ применяются многошейковые или дополнительные изоляторы.</w:t>
      </w:r>
    </w:p>
    <w:bookmarkEnd w:id="1985"/>
    <w:bookmarkStart w:name="637603441" w:id="19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Нулевые провода должны быть закреплены на изоляторах или изолирующих траверсах.</w:t>
      </w:r>
    </w:p>
    <w:bookmarkEnd w:id="1986"/>
    <w:bookmarkStart w:name="637603442" w:id="1987"/>
    <w:p>
      <w:pPr>
        <w:spacing w:before="120" w:after="120" w:line="240"/>
        <w:ind w:left="0"/>
        <w:jc w:val="center"/>
      </w:pPr>
      <w:r>
        <w:rPr>
          <w:rFonts w:hint="default" w:ascii="Times New Roman" w:hAnsi="Times New Roman"/>
          <w:b/>
          <w:i w:val="false"/>
          <w:color w:val="000000"/>
          <w:sz w:val="24"/>
        </w:rPr>
        <w:t>Параграф 6. Заземление, защита от перенапряжений</w:t>
      </w:r>
    </w:p>
    <w:bookmarkEnd w:id="1987"/>
    <w:bookmarkStart w:name="637603443" w:id="19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531. На опорах ВЛ должны быть выполнены заземляющие устройства, предназначенные для повторного заземления нулевого провода, защиты от атмосферных перенапряжений, заземления электрооборудования, установленного на опорах ВЛ, заземления защитных аппаратов.</w:t>
      </w:r>
    </w:p>
    <w:bookmarkEnd w:id="1988"/>
    <w:bookmarkStart w:name="637603444" w:id="19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Заземляющие устройства защиты от грозовых перенапряжений совмещается с повторным заземлением нулевого провода.</w:t>
      </w:r>
    </w:p>
    <w:bookmarkEnd w:id="1989"/>
    <w:bookmarkStart w:name="637603445" w:id="19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532. Металлические опоры, металлические конструкции и арматура железобетонных опор должны быть присоединены защитным проводником к нулевому проводу.</w:t>
      </w:r>
    </w:p>
    <w:bookmarkEnd w:id="1990"/>
    <w:bookmarkStart w:name="637603446" w:id="19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533. На железобетонных опорах нулевой провод присоединяется к заземляющему выпуску арматуры железобетонных стоек и подкосов опор.</w:t>
      </w:r>
    </w:p>
    <w:bookmarkEnd w:id="1991"/>
    <w:bookmarkStart w:name="637603447" w:id="19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534. На деревянных опорах ВЛ крюки и штыри не подлежат заземлению, за исключением опор, на которых выполнены повторные заземления нулевого провода и заземления для защиты от атмосферных перенапряжений.</w:t>
      </w:r>
    </w:p>
    <w:bookmarkEnd w:id="1992"/>
    <w:bookmarkStart w:name="637603448" w:id="19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535. Оттяжки опор ВЛ должны быть присоединены к заземляющему проводнику.</w:t>
      </w:r>
    </w:p>
    <w:bookmarkEnd w:id="1993"/>
    <w:bookmarkStart w:name="637603449" w:id="19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536.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p>
    <w:bookmarkEnd w:id="1994"/>
    <w:bookmarkStart w:name="637603450" w:id="19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537. Защитные аппараты, устанавливаемые на опорах ВЛ для защиты от грозовых перенапряжений, должны быть присоединены к заземлителю отдельным спуском.</w:t>
      </w:r>
    </w:p>
    <w:bookmarkEnd w:id="1995"/>
    <w:bookmarkStart w:name="637603451" w:id="19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538. В населенной местности с одно- и двухэтажной застройкой ВЛ, не экранированные промышленными дымовыми и другими трубами, высокими деревьями, зданиями, должны иметь заземляющие устройства, предназначенные для защиты от атмосферных перенапряжений. Сопротивление этих заземляющих устройств должно быть не более 30 Ом, а расстояние между ними – не более 200 м для районов с числом грозовых часов в году до 40 и 100 м для районов с числом грозовых часов в году более 40.</w:t>
      </w:r>
    </w:p>
    <w:bookmarkEnd w:id="1996"/>
    <w:bookmarkStart w:name="637603452" w:id="19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заземляющие устройства должны быть выполнены:</w:t>
      </w:r>
    </w:p>
    <w:bookmarkEnd w:id="1997"/>
    <w:bookmarkStart w:name="637603453" w:id="19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опорах с ответвлениями к вводам в помещения, в которых может быть сосредоточено большое количество людей (школы, ясли, больницы) или которые представляют большую хозяйственную ценность (животноводческие помещения, склады, мастерские);</w:t>
      </w:r>
    </w:p>
    <w:bookmarkEnd w:id="1998"/>
    <w:bookmarkStart w:name="637603454" w:id="19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 для районов с числом грозовых часов в году до 40 и 50 м – для районов с числом грозовых часов в году более 40.</w:t>
      </w:r>
    </w:p>
    <w:bookmarkEnd w:id="1999"/>
    <w:bookmarkStart w:name="637603455" w:id="20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539. Требования к заземляющим устройствам повторного заземления нулевого провода, а также выбор нулевых защитных и заземляющих проводников приведены в главе 7 настоящих Правил.</w:t>
      </w:r>
    </w:p>
    <w:bookmarkEnd w:id="2000"/>
    <w:bookmarkStart w:name="637603456" w:id="20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540. В качестве заземляющих проводников на опорах ВЛ, применяется круглая сталь диаметром не менее 6 мм, имеющую антикоррозийное покрытие.</w:t>
      </w:r>
    </w:p>
    <w:bookmarkEnd w:id="2001"/>
    <w:bookmarkStart w:name="637603457" w:id="20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541. Соединение заземляющих проводников между собой, присоединение их к верхним заземляющим выпускам стоек железобетонных опор, крюкам и кронштейнам, а также к заземляемым металлоконструкциям и заземляемому электрооборудованию, установленному на опорах ВЛ, должно выполняться сваркой или с помощью болтовых соединений.</w:t>
      </w:r>
    </w:p>
    <w:bookmarkEnd w:id="2002"/>
    <w:bookmarkStart w:name="637603458" w:id="20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заземляющих проводников (спусков) к заземлителю в земле должно выполняться сваркой или с помощью болтовых соединений.</w:t>
      </w:r>
    </w:p>
    <w:bookmarkEnd w:id="2003"/>
    <w:bookmarkStart w:name="637603459" w:id="2004"/>
    <w:p>
      <w:pPr>
        <w:spacing w:before="120" w:after="120" w:line="240"/>
        <w:ind w:left="0"/>
        <w:jc w:val="center"/>
      </w:pPr>
      <w:r>
        <w:rPr>
          <w:rFonts w:hint="default" w:ascii="Times New Roman" w:hAnsi="Times New Roman"/>
          <w:b/>
          <w:i w:val="false"/>
          <w:color w:val="000000"/>
          <w:sz w:val="24"/>
        </w:rPr>
        <w:t>Параграф 7. Опоры</w:t>
      </w:r>
    </w:p>
    <w:bookmarkEnd w:id="2004"/>
    <w:bookmarkStart w:name="637603460" w:id="20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542. Опоры выполняются из различного конструкционного материала. Предпочтение отдавается железобетону.</w:t>
      </w:r>
    </w:p>
    <w:bookmarkEnd w:id="2005"/>
    <w:bookmarkStart w:name="637603461" w:id="20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543. На ВЛ применяются следующие типы опор:</w:t>
      </w:r>
    </w:p>
    <w:bookmarkEnd w:id="2006"/>
    <w:bookmarkStart w:name="637603462" w:id="20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p>
    <w:bookmarkEnd w:id="2007"/>
    <w:bookmarkStart w:name="637603463" w:id="20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анкерные опоры, устанавливаемые для ограничения анкерного пролета, а также в местах изменения количества, марок и сечений проводов ВЛ. Эти опоры должны воспринимать в нормальных режимах работы усилия от разности тяжения проводов, направленные вдоль ВЛ;</w:t>
      </w:r>
    </w:p>
    <w:bookmarkEnd w:id="2008"/>
    <w:bookmarkStart w:name="637603464" w:id="20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угловые опоры, устанавливаемые в местах изменения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выполняются промежуточными и анкерного типа;</w:t>
      </w:r>
    </w:p>
    <w:bookmarkEnd w:id="2009"/>
    <w:bookmarkStart w:name="637603465" w:id="20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bookmarkEnd w:id="2010"/>
    <w:bookmarkStart w:name="637603466" w:id="20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ответвительные опоры, на которых выполняются ответвления от ВЛ;</w:t>
      </w:r>
    </w:p>
    <w:bookmarkEnd w:id="2011"/>
    <w:bookmarkStart w:name="637603467" w:id="20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перекрестные опоры, на которых выполняется пересечение ВЛ двух направлений.</w:t>
      </w:r>
    </w:p>
    <w:bookmarkEnd w:id="2012"/>
    <w:bookmarkStart w:name="637603468" w:id="20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Ответвительные и перекрестные опоры могут быть всех указанных выше типов.</w:t>
      </w:r>
    </w:p>
    <w:bookmarkEnd w:id="2013"/>
    <w:bookmarkStart w:name="637603469" w:id="20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пересечения ВЛ с инженерными сооружениями применяются повышенные опоры всех типов.</w:t>
      </w:r>
    </w:p>
    <w:bookmarkEnd w:id="2014"/>
    <w:bookmarkStart w:name="637603470" w:id="20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544. Конструкции опор должны обеспечивать возможность установки:</w:t>
      </w:r>
    </w:p>
    <w:bookmarkEnd w:id="2015"/>
    <w:bookmarkStart w:name="637603471" w:id="20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светильников уличного освещения всех типов;</w:t>
      </w:r>
    </w:p>
    <w:bookmarkEnd w:id="2016"/>
    <w:bookmarkStart w:name="637603472" w:id="20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концевых кабельных муфт;</w:t>
      </w:r>
    </w:p>
    <w:bookmarkEnd w:id="2017"/>
    <w:bookmarkStart w:name="637603473" w:id="20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защитных аппаратов;</w:t>
      </w:r>
    </w:p>
    <w:bookmarkEnd w:id="2018"/>
    <w:bookmarkStart w:name="637603474" w:id="20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секционирующих и коммутационных аппаратов;</w:t>
      </w:r>
    </w:p>
    <w:bookmarkEnd w:id="2019"/>
    <w:bookmarkStart w:name="637603475" w:id="20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шкафов и щитков для подключения электроприемников.</w:t>
      </w:r>
    </w:p>
    <w:bookmarkEnd w:id="2020"/>
    <w:bookmarkStart w:name="637603476" w:id="20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Все типы опор должны предусматривать возможность установки светильников как выше, так и ниже подвешиваемых на опоре проводов.</w:t>
      </w:r>
    </w:p>
    <w:bookmarkEnd w:id="2021"/>
    <w:bookmarkStart w:name="637603477" w:id="20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545. Опоры независимо от их типа могут быть свободностоящими, с подкосами или оттяжками.</w:t>
      </w:r>
    </w:p>
    <w:bookmarkEnd w:id="2022"/>
    <w:bookmarkStart w:name="637603478" w:id="20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Оттяжки опор прикрепляются к анкерам, цилиндрическим, установленным в земле, или к каменным, кирпичным, железобетонным и металлическим элементам зданий и сооружений. Они могут быть многопроволочными или из круглой стали. Сечение оттяжек определяется расчетом.</w:t>
      </w:r>
    </w:p>
    <w:bookmarkEnd w:id="2023"/>
    <w:bookmarkStart w:name="637603479" w:id="2024"/>
    <w:p>
      <w:pPr>
        <w:spacing w:before="120" w:after="120" w:line="240"/>
        <w:ind w:left="0"/>
        <w:jc w:val="both"/>
      </w:pPr>
      <w:r>
        <w:rPr>
          <w:rFonts w:hint="default" w:ascii="Times New Roman" w:hAnsi="Times New Roman"/>
          <w:b w:val="false"/>
          <w:i w:val="false"/>
          <w:color w:val="000000"/>
          <w:sz w:val="24"/>
        </w:rPr>
        <w:t>Сечение однопроволочных стальных оттяжек должно быть не менее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2024"/>
    <w:bookmarkStart w:name="637603480" w:id="20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546. Опоры должны рассчитываться по первому и второму предельному состоянию для нормального режима работы ВЛ на климатические нагрузки и их сочетания по пунктам 506 и 507 настоящих Правил.</w:t>
      </w:r>
    </w:p>
    <w:bookmarkEnd w:id="2025"/>
    <w:bookmarkStart w:name="637603481" w:id="20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Промежуточные опоры должны быть рассчитаны на следующие сочетания нагрузок:</w:t>
      </w:r>
    </w:p>
    <w:bookmarkEnd w:id="2026"/>
    <w:bookmarkStart w:name="637603482" w:id="20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или частично покрытых гололедом по пункту 513 настоящих Правил;</w:t>
      </w:r>
    </w:p>
    <w:bookmarkEnd w:id="2027"/>
    <w:bookmarkStart w:name="637603483" w:id="20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нагрузку от тяжения проводов ответвлений к вводам, покрытых гололедом, при этом, допускается учет отклонения опоры под действием нагрузки;</w:t>
      </w:r>
    </w:p>
    <w:bookmarkEnd w:id="2028"/>
    <w:bookmarkStart w:name="637603484" w:id="20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условную расчетную нагрузку, равную 1,5 кН, приложенную к вершине опоры и направленную вдоль оси ВЛ.</w:t>
      </w:r>
    </w:p>
    <w:bookmarkEnd w:id="2029"/>
    <w:bookmarkStart w:name="637603485" w:id="20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Угловые опоры (промежуточные и анкерные) должны быть рассчитаны на результирующую нагрузку на провода и конструкцию опоры от тяжения проводов и давления ветра при гололеде и без гололеда, направленную по биссектрисе внутреннего угла поворота трассы ВЛ.</w:t>
      </w:r>
    </w:p>
    <w:bookmarkEnd w:id="2030"/>
    <w:bookmarkStart w:name="637603486" w:id="20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принимается 50 % наибольшего значения одностороннего тяжения всех проводов.</w:t>
      </w:r>
    </w:p>
    <w:bookmarkEnd w:id="2031"/>
    <w:bookmarkStart w:name="637603487" w:id="20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Концевые опоры должны быть рассчитаны на одностороннее тяжение всех проводов.</w:t>
      </w:r>
    </w:p>
    <w:bookmarkEnd w:id="2032"/>
    <w:bookmarkStart w:name="637603488" w:id="20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Ответвительные опоры рассчитываются на результирующую нагрузку от тяжения всех проводов.</w:t>
      </w:r>
    </w:p>
    <w:bookmarkEnd w:id="2033"/>
    <w:bookmarkStart w:name="637603489" w:id="2034"/>
    <w:p>
      <w:pPr>
        <w:spacing w:before="120" w:after="120" w:line="240"/>
        <w:ind w:left="0"/>
        <w:jc w:val="both"/>
      </w:pPr>
      <w:r>
        <w:rPr>
          <w:rFonts w:hint="default" w:ascii="Times New Roman" w:hAnsi="Times New Roman"/>
          <w:b w:val="false"/>
          <w:i w:val="false"/>
          <w:color w:val="000000"/>
          <w:sz w:val="24"/>
        </w:rPr>
        <w:t xml:space="preserve">547. Отклонение вершины анкерной опоры с учетом поворота в грунте должно быть не более </w:t>
      </w: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30</w:t>
      </w:r>
      <w:r>
        <w:rPr>
          <w:rFonts w:hint="default" w:ascii="Times New Roman" w:hAnsi="Times New Roman"/>
          <w:b w:val="false"/>
          <w:i w:val="false"/>
          <w:color w:val="000000"/>
          <w:sz w:val="24"/>
        </w:rPr>
        <w:t xml:space="preserve"> Н, где Н – высота опоры ВЛ.</w:t>
      </w:r>
    </w:p>
    <w:bookmarkEnd w:id="2034"/>
    <w:bookmarkStart w:name="637603490" w:id="20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Угол поворота одностоечных опор в грунте должен быть не более 0,02 рад.</w:t>
      </w:r>
    </w:p>
    <w:bookmarkEnd w:id="2035"/>
    <w:bookmarkStart w:name="637603491" w:id="20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отклонения вершины опоры, углов поворота опор в грунте, раскрытия и образования трещин на железобетонных стойках опор ВЛ производится на нормативные нагрузки.</w:t>
      </w:r>
    </w:p>
    <w:bookmarkEnd w:id="2036"/>
    <w:bookmarkStart w:name="637603492" w:id="20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548. Для изготовления деталей деревянных опор ВЛ применяются лесоматериалы хвойных пород (ель, сосна, пихта, лиственница) не ниже третьего сорта, пропитанные антисептиками заводским способом.</w:t>
      </w:r>
    </w:p>
    <w:bookmarkEnd w:id="2037"/>
    <w:bookmarkStart w:name="637603493" w:id="20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Качество пропитки деревянных деталей опор должно соответствовать требованиям действующих стандартов. Допускается применение непропитанной лиственницы. Конусность бревна от комля к верхнему отрубу (сбег бревна) при расчетах принимаются равной 8 мм на 1 м длины.</w:t>
      </w:r>
    </w:p>
    <w:bookmarkEnd w:id="2038"/>
    <w:bookmarkStart w:name="637603494" w:id="20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549. Для основных рассчитываемых элементов опор (стойки, приставки, траверсы, подкосы) диаметр бревна в верхнем отрубе должен быть не менее 16 см. Для остальных элементов опор, а также для опор, устанавливаемых у зданий на ответвлениях к вводам, диаметр бревна в верхнем отрубе должен быть не менее 12 см.</w:t>
      </w:r>
    </w:p>
    <w:bookmarkEnd w:id="2039"/>
    <w:bookmarkStart w:name="637603495" w:id="20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550. Приставки к деревянным опорам, должны быть изготовлены из предварительно напряженного железобетона. Сочленение приставки с опорой должно осуществляться с помощью хомута.</w:t>
      </w:r>
    </w:p>
    <w:bookmarkEnd w:id="2040"/>
    <w:bookmarkStart w:name="637603496" w:id="20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551. Размеры заглубления и способы закрепления опор должны определяться в зависимости от их высоты, количества и сечения укрепляемых на опоре проводов, грунтовых условий, а также от метода производства земляных работ.</w:t>
      </w:r>
    </w:p>
    <w:bookmarkEnd w:id="2041"/>
    <w:bookmarkStart w:name="637603497" w:id="20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552. При установке опор на затапливаемых участках трассы, где возможны размывы грунта или воздействие ледохода, опоры должны быть укреплены (замощение, устройство банкеток, установка ледорезов).</w:t>
      </w:r>
    </w:p>
    <w:bookmarkEnd w:id="2042"/>
    <w:bookmarkStart w:name="637603498" w:id="2043"/>
    <w:p>
      <w:pPr>
        <w:spacing w:before="120" w:after="120" w:line="240"/>
        <w:ind w:left="0"/>
        <w:jc w:val="center"/>
      </w:pPr>
      <w:r>
        <w:rPr>
          <w:rFonts w:hint="default" w:ascii="Times New Roman" w:hAnsi="Times New Roman"/>
          <w:b/>
          <w:i w:val="false"/>
          <w:color w:val="000000"/>
          <w:sz w:val="24"/>
        </w:rPr>
        <w:t>Параграф 8. Габариты, пересечения и сближения</w:t>
      </w:r>
    </w:p>
    <w:bookmarkEnd w:id="2043"/>
    <w:bookmarkStart w:name="637603499" w:id="20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553. Наименьшие расстояния (габариты) от проводов ВЛ до поверхности земли или воды, а также до различных сооружений при прохождении ВЛ над ними определяются:</w:t>
      </w:r>
    </w:p>
    <w:bookmarkEnd w:id="2044"/>
    <w:bookmarkStart w:name="637603500" w:id="20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высшей температуре воздуха без учета нагрева проводов электрическим током и отсутствии ветра;</w:t>
      </w:r>
    </w:p>
    <w:bookmarkEnd w:id="2045"/>
    <w:bookmarkStart w:name="637603501" w:id="2046"/>
    <w:p>
      <w:pPr>
        <w:spacing w:before="120" w:after="120" w:line="240"/>
        <w:ind w:left="0"/>
        <w:jc w:val="both"/>
      </w:pPr>
      <w:r>
        <w:rPr>
          <w:rFonts w:hint="default" w:ascii="Times New Roman" w:hAnsi="Times New Roman"/>
          <w:b w:val="false"/>
          <w:i w:val="false"/>
          <w:color w:val="000000"/>
          <w:sz w:val="24"/>
        </w:rPr>
        <w:t>2) при расчетной толщине стенки гололеда b</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 температуре минус 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отсутствии ветра.</w:t>
      </w:r>
    </w:p>
    <w:bookmarkEnd w:id="2046"/>
    <w:bookmarkStart w:name="637603502" w:id="20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554. Расстояние от проводов ВЛ в населенной и ненаселенной местности при наибольшей стреле провеса проводов до поверхности земли и проезжей части улиц должно быть не менее 6 м.</w:t>
      </w:r>
    </w:p>
    <w:bookmarkEnd w:id="2047"/>
    <w:bookmarkStart w:name="637603503" w:id="20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проводов ВЛ до земли при наибольшей стреле провеса может быть уменьшено в труднодоступной местности до 3,5 м и в недоступной местности (склоны гор, скалы, утесы) до 1 м.</w:t>
      </w:r>
    </w:p>
    <w:bookmarkEnd w:id="2048"/>
    <w:bookmarkStart w:name="637603504" w:id="20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непроезжей части улиц ответвлениями от ВЛ к вводам расстояние от проводов до земли, тротуаров и пешеходных дорожек при наибольшей стреле провеса допускается уменьшить до 3,5 м. Расстояние до земли от проводов на изоляторах ввода в здание допускается не менее 2,75 м.</w:t>
      </w:r>
    </w:p>
    <w:bookmarkEnd w:id="2049"/>
    <w:bookmarkStart w:name="637603505" w:id="20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невозможности соблюдения указанного расстояния должна быть установлена дополнительная опора или конструкция на здании.</w:t>
      </w:r>
    </w:p>
    <w:bookmarkEnd w:id="2050"/>
    <w:bookmarkStart w:name="637603506" w:id="20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555. Расстояние по горизонтали от проводов ВЛ при наибольшем их отклонении до зданий, строений и сооружений должно быть не менее:</w:t>
      </w:r>
    </w:p>
    <w:bookmarkEnd w:id="2051"/>
    <w:bookmarkStart w:name="637603507" w:id="20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1,5 м – до балконов, террас и окон;</w:t>
      </w:r>
    </w:p>
    <w:bookmarkEnd w:id="2052"/>
    <w:bookmarkStart w:name="637603508" w:id="20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1 м – до глухих стен.</w:t>
      </w:r>
    </w:p>
    <w:bookmarkEnd w:id="2053"/>
    <w:bookmarkStart w:name="637603509" w:id="20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Прохождение ВЛ с неизолированными проводами над зданиями, строениями и сооружениями не допускается, за исключением ответвлений от ВЛ к вводам в здания.</w:t>
      </w:r>
    </w:p>
    <w:bookmarkEnd w:id="2054"/>
    <w:bookmarkStart w:name="637603510" w:id="20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556. Расстояния по горизонтали от подземных частей опор или заземляющих устройств ВЛ до подземных кабелей, трубопроводов и наземных колонок различного назначения должны быть не менее приведенных в таблице 127 приложения к настоящим Правилам.</w:t>
      </w:r>
    </w:p>
    <w:bookmarkEnd w:id="2055"/>
    <w:bookmarkStart w:name="637603511" w:id="20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557. Пересечение ВЛ с судоходными реками не допускается. При пересечении несудоходных и замерзающих небольших рек, каналов расстояние от проводов ВЛ до наивысшего уровня воды должно быть не менее 2 м, а до льда – не менее 6 м.</w:t>
      </w:r>
    </w:p>
    <w:bookmarkEnd w:id="2056"/>
    <w:bookmarkStart w:name="637603512" w:id="20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558. При пересечении ВЛ с различными сооружениями, а также с улицами и площадями городов, поселков и других населенных пунктов угол пересечения не нормируется.</w:t>
      </w:r>
    </w:p>
    <w:bookmarkEnd w:id="2057"/>
    <w:bookmarkStart w:name="637603513" w:id="20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559. Пересечения ВЛ напряжением до 1 кВ с ВЛ выше 1 кВ, сближения их при параллельном следовании, а также совместная подвеска их проводов на общих опорах ВЛ должны выполняться с соблюдением требований, приведенных в главе 11 настоящих Правил.</w:t>
      </w:r>
    </w:p>
    <w:bookmarkEnd w:id="2058"/>
    <w:bookmarkStart w:name="637603514" w:id="20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560. Пересечение ВЛ до 1 кВ между собой выполняется на перекрестных опорах. В местах пересечения ВЛ применяются анкерные и промежуточные опоры.</w:t>
      </w:r>
    </w:p>
    <w:bookmarkEnd w:id="2059"/>
    <w:bookmarkStart w:name="637603515" w:id="2060"/>
    <w:p>
      <w:pPr>
        <w:spacing w:before="120" w:after="120" w:line="240"/>
        <w:ind w:left="0"/>
        <w:jc w:val="both"/>
      </w:pPr>
      <w:r>
        <w:rPr>
          <w:rFonts w:hint="default" w:ascii="Times New Roman" w:hAnsi="Times New Roman"/>
          <w:b w:val="false"/>
          <w:i w:val="false"/>
          <w:color w:val="000000"/>
          <w:sz w:val="24"/>
        </w:rPr>
        <w:t>При пересечении ВЛ в пролете место пересечения выбирается ближе к опоре верхней пересекающей ВЛ. В этом случае расстояние по горизонтали между опорами пересекающей и проводами пересекаемой ВЛ должно быть не менее 2 м, а расстояние по вертикали между ближайшими проводами пересекающихся ВЛ при температуре окружающего воздуха плюс 1</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без ветра должно быть не менее 1 м.</w:t>
      </w:r>
    </w:p>
    <w:bookmarkEnd w:id="2060"/>
    <w:bookmarkStart w:name="637603516" w:id="20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561. При параллельном прохождении и сближении ВЛ до 1 кВ и ВЛ выше 1 кВ расстояния между ними по горизонтали должны быть не менее указанных в главе 11 настоящих Правил.</w:t>
      </w:r>
    </w:p>
    <w:bookmarkEnd w:id="2061"/>
    <w:bookmarkStart w:name="637603517" w:id="20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562. Пересечение ВЛ с линиями связи и сигнализации (ЛС) и линиями проводного вещания (П3) может быть выполнено по одному из следующих вариантов:</w:t>
      </w:r>
    </w:p>
    <w:bookmarkEnd w:id="2062"/>
    <w:bookmarkStart w:name="637603518" w:id="20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неизолированными проводами ВЛ и изолированными проводами ЛС (П3);</w:t>
      </w:r>
    </w:p>
    <w:bookmarkEnd w:id="2063"/>
    <w:bookmarkStart w:name="637603519" w:id="20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неизолированными проводами ВЛ и подземным или подвесным кабелем ЛС (П3);</w:t>
      </w:r>
    </w:p>
    <w:bookmarkEnd w:id="2064"/>
    <w:bookmarkStart w:name="637603520" w:id="20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неизолированными проводами ВЛ с повышенной механической прочностью и неизолированными проводами ЛС (П3);</w:t>
      </w:r>
    </w:p>
    <w:bookmarkEnd w:id="2065"/>
    <w:bookmarkStart w:name="637603521" w:id="20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изолированными проводами ВЛ и неизолированными проводами ЛС (П3);</w:t>
      </w:r>
    </w:p>
    <w:bookmarkEnd w:id="2066"/>
    <w:bookmarkStart w:name="637603522" w:id="20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подземной кабельной вставкой в ВЛ и неизолированными проводами ЛС (П3).</w:t>
      </w:r>
    </w:p>
    <w:bookmarkEnd w:id="2067"/>
    <w:bookmarkStart w:name="637603523" w:id="2068"/>
    <w:p>
      <w:pPr>
        <w:spacing w:before="120" w:after="120" w:line="240"/>
        <w:ind w:left="0"/>
        <w:jc w:val="both"/>
      </w:pPr>
      <w:r>
        <w:rPr>
          <w:rFonts w:hint="default" w:ascii="Times New Roman" w:hAnsi="Times New Roman"/>
          <w:b w:val="false"/>
          <w:i w:val="false"/>
          <w:color w:val="000000"/>
          <w:sz w:val="24"/>
        </w:rPr>
        <w:t>563. Угол пересечения ВЛ с ЛС (П3) должен быть по возможности близок к 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Для стесненных условий угол пересечения не нормируется.</w:t>
      </w:r>
    </w:p>
    <w:bookmarkEnd w:id="2068"/>
    <w:bookmarkStart w:name="637603524" w:id="20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564. Расстояние по вертикали от проводов ВЛ до проводов или подвесных кабелей ЛС (П3) в пролетах пересечения при наибольшей стреле провеса должен быть не менее:</w:t>
      </w:r>
    </w:p>
    <w:bookmarkEnd w:id="2069"/>
    <w:bookmarkStart w:name="637603525" w:id="20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высшей температуре воздуха без учета нагревания проводов ВЛ электрическим током – 1,25 м;</w:t>
      </w:r>
    </w:p>
    <w:bookmarkEnd w:id="2070"/>
    <w:bookmarkStart w:name="637603526" w:id="2071"/>
    <w:p>
      <w:pPr>
        <w:spacing w:before="120" w:after="120" w:line="240"/>
        <w:ind w:left="0"/>
        <w:jc w:val="both"/>
      </w:pPr>
      <w:r>
        <w:rPr>
          <w:rFonts w:hint="default" w:ascii="Times New Roman" w:hAnsi="Times New Roman"/>
          <w:b w:val="false"/>
          <w:i w:val="false"/>
          <w:color w:val="000000"/>
          <w:sz w:val="24"/>
        </w:rPr>
        <w:t>2) при расчетной толщине стенки гололеда b</w:t>
      </w:r>
      <w:r>
        <w:rPr>
          <w:rFonts w:hint="default" w:ascii="Times New Roman" w:hAnsi="Times New Roman"/>
          <w:b w:val="false"/>
          <w:i w:val="false"/>
          <w:color w:val="000000"/>
          <w:vertAlign w:val="subscript"/>
        </w:rPr>
        <w:t>э</w:t>
      </w:r>
      <w:r>
        <w:rPr>
          <w:rFonts w:hint="default" w:ascii="Times New Roman" w:hAnsi="Times New Roman"/>
          <w:b w:val="false"/>
          <w:i w:val="false"/>
          <w:color w:val="000000"/>
          <w:sz w:val="24"/>
        </w:rPr>
        <w:t xml:space="preserve"> и температуре воздуха минус 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 1 м.</w:t>
      </w:r>
    </w:p>
    <w:bookmarkEnd w:id="2071"/>
    <w:bookmarkStart w:name="637603527" w:id="20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проводов ВЛ с проводами или подвесным кабелем ПВ на общей опоре расстояние между ними по вертикали должно быть не менее 1,5 м. При расположении проводов или подвесных кабелей ПВ на кронштейнах это расстояние принимается от провода ВЛ, расположенного на той же стороне опоры ВЛ, на которой находятся провода или подвесные кабели ПВ.</w:t>
      </w:r>
    </w:p>
    <w:bookmarkEnd w:id="2072"/>
    <w:bookmarkStart w:name="637603528" w:id="20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Место пересечения проводов ВЛ с проводами или подвесными кабелями ЛС (П3) в пролете должно находиться по возможности ближе к опоре ВЛ, но не менее 2 м от нее.</w:t>
      </w:r>
    </w:p>
    <w:bookmarkEnd w:id="2073"/>
    <w:bookmarkStart w:name="637603529" w:id="20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565. При пересечении неизолированных проводов ВЛ с изолированными проводами ЛС (П3) должны соблюдаться следующие требования:</w:t>
      </w:r>
    </w:p>
    <w:bookmarkEnd w:id="2074"/>
    <w:bookmarkStart w:name="637603530" w:id="20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пересечение проводов ВЛ с проводами ЛС, а также проводами ПВ напряжением выше 360 В, должно выполняться только в пролете. Пересечение проводов ВЛ с проводами ПВ напряжением до 360 В может выполняться как в пролете, так и на общей опоре;</w:t>
      </w:r>
    </w:p>
    <w:bookmarkEnd w:id="2075"/>
    <w:bookmarkStart w:name="637603531" w:id="20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опоры ВЛ, ограничивающие пролет пересечения с ЛС магистральных и внутризоновых сетей связи и с соединительными линиями сельской телефонной связи (СТС), а также ПВ напряжением выше 360 В, должны быть анкерного типа. При пересечении всех остальных ЛС и ПВ допускаются опоры ВЛ промежуточного типа, усиленные дополнительной приставкой или подкосом;</w:t>
      </w:r>
    </w:p>
    <w:bookmarkEnd w:id="2076"/>
    <w:bookmarkStart w:name="637603532" w:id="20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провода ВЛ должны располагаться над проводами ЛС (П3). На опорах, ограничивающих пролет пересечения, провода ВЛ должны иметь двойное крепление. В исключительных случаях провода ВЛ 380/220 В и ниже допускается располагать под проводами ЛС (П3). При этом, провода ЛС (П3) на стойках, ограничивающих пролет пересечения, должны иметь двойное крепление;</w:t>
      </w:r>
    </w:p>
    <w:bookmarkEnd w:id="2077"/>
    <w:bookmarkStart w:name="637603533" w:id="2078"/>
    <w:p>
      <w:pPr>
        <w:spacing w:before="120" w:after="120" w:line="240"/>
        <w:ind w:left="0"/>
        <w:jc w:val="both"/>
      </w:pPr>
      <w:r>
        <w:rPr>
          <w:rFonts w:hint="default" w:ascii="Times New Roman" w:hAnsi="Times New Roman"/>
          <w:b w:val="false"/>
          <w:i w:val="false"/>
          <w:color w:val="000000"/>
          <w:sz w:val="24"/>
        </w:rPr>
        <w:t>4) соединение проводов ВЛ, а также проводов ЛС (П3) в пролетах пересечения не допускается. Провода ВЛ должны быть многопроволочными с сечением не менее: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алюминиевых проводов и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проводов из алюминиевых сплавов и сталеалюминевых проводов;</w:t>
      </w:r>
    </w:p>
    <w:bookmarkEnd w:id="2078"/>
    <w:bookmarkStart w:name="637603534" w:id="20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на опорах ЛС (П3), ограничивающих пролет пересечения с ВЛ напряжением до 1 кВ, должны устанавливаться молниеотводы с разрывом 50 мм в спуске. На опорах с железобетонными приставками разрыв в спуске выполняется на деревянной части опоры и располагать на 10–15 см выше приставки. Закрывать спуск деревянной рейкой не требуется.</w:t>
      </w:r>
    </w:p>
    <w:bookmarkEnd w:id="2079"/>
    <w:bookmarkStart w:name="637603535" w:id="20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566. При пересечении неизолированных проводов ВЛ с подземным или подвесным кабелем ЛС (П3) должны выполняться следующие требования:</w:t>
      </w:r>
    </w:p>
    <w:bookmarkEnd w:id="2080"/>
    <w:bookmarkStart w:name="637603536" w:id="20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выборе трасс кабелей ЛС и ПВ расстояние от них до ближайшей опоры должно по возможности приниматься большим.</w:t>
      </w:r>
    </w:p>
    <w:bookmarkEnd w:id="2081"/>
    <w:bookmarkStart w:name="637603537" w:id="20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подземных кабелей ЛС (П3) до заземлителя или подземной части железобетонной или металлической опоры ВЛ в населенной местности должно быть не менее 3 м.</w:t>
      </w:r>
    </w:p>
    <w:bookmarkEnd w:id="2082"/>
    <w:bookmarkStart w:name="637603538" w:id="20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подземных кабелей ЛС (П3) до подземной части деревянной опоры ВЛ, не имеющей заземляющего устройства, в населенной местности должно быть не менее 2 м. В 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на расстояние не менее 3 м. В ненаселенной местности расстояние от подземного кабеля ЛС (П3) до подземной части или заземлителя опоры ВЛ должно быть не менее значений, приведенных в таблице 128 приложения к настоящим Правилам;</w:t>
      </w:r>
    </w:p>
    <w:bookmarkEnd w:id="2083"/>
    <w:bookmarkStart w:name="637603539" w:id="20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провода ВЛ должны располагаться над подвесным кабелем ЛС (П3);</w:t>
      </w:r>
    </w:p>
    <w:bookmarkEnd w:id="2084"/>
    <w:bookmarkStart w:name="637603540" w:id="2085"/>
    <w:p>
      <w:pPr>
        <w:spacing w:before="120" w:after="120" w:line="240"/>
        <w:ind w:left="0"/>
        <w:jc w:val="both"/>
      </w:pPr>
      <w:r>
        <w:rPr>
          <w:rFonts w:hint="default" w:ascii="Times New Roman" w:hAnsi="Times New Roman"/>
          <w:b w:val="false"/>
          <w:i w:val="false"/>
          <w:color w:val="000000"/>
          <w:sz w:val="24"/>
        </w:rPr>
        <w:t>3) соединение проводов ВЛ в пролете пересечения с подвесным кабелем ЛС (П3) не допускается. Провода ВЛ в пролете пересечения с подвесным кабелем ЛС (П3) должны быть многопроволочными сечением не менее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алюминиевых и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для сталеалюминиевых проводов;</w:t>
      </w:r>
    </w:p>
    <w:bookmarkEnd w:id="2085"/>
    <w:bookmarkStart w:name="637603541" w:id="20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металлическая оболочка подвесного кабеля и трос, на котором подвешен кабель, должны быть заземлены на опорах, ограничивающих пролет пересечения, при этом, сопротивление заземления не должно превышать 10 Ом;</w:t>
      </w:r>
    </w:p>
    <w:bookmarkEnd w:id="2086"/>
    <w:bookmarkStart w:name="637603542" w:id="20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расстояние по горизонтали от основания кабельной опоры ЛС (П3) до проекции ближайшего провода ВЛ на горизонтальную плоскость должно быть не менее высоты опоры ВЛ.</w:t>
      </w:r>
    </w:p>
    <w:bookmarkEnd w:id="2087"/>
    <w:bookmarkStart w:name="637603543" w:id="20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567. Вариант пересечения ВЛ с ЛС (П3), оговоренный в настоящем параграфе, применяется, если:</w:t>
      </w:r>
    </w:p>
    <w:bookmarkEnd w:id="2088"/>
    <w:bookmarkStart w:name="637603544" w:id="20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применение кабельной вставки в ЛС приведет к необходимости установки дополнительного и переноса ранее установленного усилительного пункта ЛС;</w:t>
      </w:r>
    </w:p>
    <w:bookmarkEnd w:id="2089"/>
    <w:bookmarkStart w:name="637603545" w:id="20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применении кабельной вставки в ПВ суммарная длина кабельных вставок в ПВ превышает допустимые значения.</w:t>
      </w:r>
    </w:p>
    <w:bookmarkEnd w:id="2090"/>
    <w:bookmarkStart w:name="637603546" w:id="20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568. При пересечении неизолированных проводов ВЛ с неизолированными проводами ЛС (П3) должны соблюдаться следующие требования:</w:t>
      </w:r>
    </w:p>
    <w:bookmarkEnd w:id="2091"/>
    <w:bookmarkStart w:name="637603547" w:id="20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пересечение проводов ВЛ с проводами ЛС, а также проводами ПВ должно выполняться только в пролете. Пересечение проводов ВЛ с абонентскими и фидерными линиями ПВ напряжением между проводами до 360 В допускается выполнять на опорах ВЛ;</w:t>
      </w:r>
    </w:p>
    <w:bookmarkEnd w:id="2092"/>
    <w:bookmarkStart w:name="637603548" w:id="20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опоры ВЛ, ограничивающие пролет пересечения, должны быть анкерного типа;</w:t>
      </w:r>
    </w:p>
    <w:bookmarkEnd w:id="2093"/>
    <w:bookmarkStart w:name="637603549" w:id="20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провода ВЛ должны располагаться над проводами ЛС (П3).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стоечных линий ПВ и ГТС. При этом, провода линий ПВ и ГТС, ограничивающих пролет пересечения, на стойках должны иметь двойное крепление;</w:t>
      </w:r>
    </w:p>
    <w:bookmarkEnd w:id="2094"/>
    <w:bookmarkStart w:name="637603550" w:id="2095"/>
    <w:p>
      <w:pPr>
        <w:spacing w:before="120" w:after="120" w:line="240"/>
        <w:ind w:left="0"/>
        <w:jc w:val="both"/>
      </w:pPr>
      <w:r>
        <w:rPr>
          <w:rFonts w:hint="default" w:ascii="Times New Roman" w:hAnsi="Times New Roman"/>
          <w:b w:val="false"/>
          <w:i w:val="false"/>
          <w:color w:val="000000"/>
          <w:sz w:val="24"/>
        </w:rPr>
        <w:t>4) соединение проводов ВЛ, а также проводов ЛС (П3) в пролетах пересечения не допускается. Провода ВЛ должны быть многопроволочными сечением не менее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алюминиевых и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сталеалюминиевых проводов;</w:t>
      </w:r>
    </w:p>
    <w:bookmarkEnd w:id="2095"/>
    <w:bookmarkStart w:name="637603551" w:id="20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на опорах ЛС (П3), ограничивающих пролет пересечения, устанавливаются молниеотводы.</w:t>
      </w:r>
    </w:p>
    <w:bookmarkEnd w:id="2096"/>
    <w:bookmarkStart w:name="637603552" w:id="20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569. При пересечении изолированных проводов ВЛ с неизолированными проводами ЛС (П3) должны соблюдаться следующие требования:</w:t>
      </w:r>
    </w:p>
    <w:bookmarkEnd w:id="2097"/>
    <w:bookmarkStart w:name="637603553" w:id="20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пересечение проводов ВЛ с проводами ЛС должно выполняться только в пролете. Пересечение проводов ВЛ с проводами ПВ может выполняться как в пролете, так и на общей опоре;</w:t>
      </w:r>
    </w:p>
    <w:bookmarkEnd w:id="2098"/>
    <w:bookmarkStart w:name="637603554" w:id="20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(П3) на ВЛ допускается применение промежуточных опор, усиленных дополнительной приставкой или подкосом;</w:t>
      </w:r>
    </w:p>
    <w:bookmarkEnd w:id="2099"/>
    <w:bookmarkStart w:name="637603555" w:id="2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2,5;</w:t>
      </w:r>
    </w:p>
    <w:bookmarkEnd w:id="2100"/>
    <w:bookmarkStart w:name="637603556" w:id="2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провода ВЛ должны располагаться над проводами ЛС (П3). На опорах, ограничивающих пролет пересечения, провода или несущие их тросы ВЛ должны иметь двойное крепление или глухую вязку. Провода ВЛ напряжением 380/220 В и ниже допускается располагать под проводами стоечных ПВ. При этом, провода ПВ на опорах, ограничивающих пролет пересечения, должны иметь двойное крепление;</w:t>
      </w:r>
    </w:p>
    <w:bookmarkEnd w:id="2101"/>
    <w:bookmarkStart w:name="637603557" w:id="2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соединение проводов ВЛ, а также проводов ЛС (П3) в пролетах пересечения не допускается;</w:t>
      </w:r>
    </w:p>
    <w:bookmarkEnd w:id="2102"/>
    <w:bookmarkStart w:name="637603558" w:id="21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на опорах ЛС и ПВ, ограничивающих пролет пересечения, должны устанавливаться молниеотводы.</w:t>
      </w:r>
    </w:p>
    <w:bookmarkEnd w:id="2103"/>
    <w:bookmarkStart w:name="637603559" w:id="2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570. При пересечении подземной кабельной вставки в ВЛ с неизолированными проводами ЛС (П3) должны соблюдаться следующие требования:</w:t>
      </w:r>
    </w:p>
    <w:bookmarkEnd w:id="2104"/>
    <w:bookmarkStart w:name="637603560" w:id="21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расстояние от подземной кабельной вставки ВЛ до опоры ЛС (П3) и ее заземлителя должно быть не менее 1 м, а при прокладке кабеля в изолирующей трубе – не менее 0,5 м;</w:t>
      </w:r>
    </w:p>
    <w:bookmarkEnd w:id="2105"/>
    <w:bookmarkStart w:name="637603561" w:id="2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расстояние по горизонтали от основания кабельной опоры ВЛ до проекции ближайшего провода ЛС (П3) на горизонтальную плоскость должно быть не менее высоты опоры ЛС (П3).</w:t>
      </w:r>
    </w:p>
    <w:bookmarkEnd w:id="2106"/>
    <w:bookmarkStart w:name="637603562" w:id="2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571. При сближении ВЛ с воздушными ЛС (П3) расстояние по горизонтали между крайними проводами этих линий должно быть не менее 2 м, а в стесненных условиях – не менее 1,5 м. Во всех остальных случаях расстояние между линиями должно быть не менее высоты самой высокой опоры ВЛ, ЛС и ПВ.</w:t>
      </w:r>
    </w:p>
    <w:bookmarkEnd w:id="2107"/>
    <w:bookmarkStart w:name="637603563" w:id="2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сближении ВЛ с подземными или подвесными кабелями ЛС (П3) расстояние между ними должно быть не менее указанных в подпунктах 1) и 4) пункта 567 настоящих Правил.</w:t>
      </w:r>
    </w:p>
    <w:bookmarkEnd w:id="2108"/>
    <w:bookmarkStart w:name="637603564" w:id="21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572.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bookmarkEnd w:id="2109"/>
    <w:bookmarkStart w:name="637603565" w:id="2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573. Расстояние по горизонтали между проводами ВЛ и проводами ЛС (П3), телевизионными кабелями и спусками от радиоантенн на вводах должно быть не менее 1,5 м. При этом, провода от опоры ВЛ до ввода и провода ввода ВЛ в здание не должны пересекаться с проводами ответвлений от ЛС (П3) к вводам и должны располагаться не ниже проводов ЛС (П3).</w:t>
      </w:r>
    </w:p>
    <w:bookmarkEnd w:id="2110"/>
    <w:bookmarkStart w:name="637603566" w:id="2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574. Совместная подвеска на общих опорах вновь сооружаемых ВЛ неизолированных проводов ВЛ и ЛС, ВЛ и ПВ не допускается.</w:t>
      </w:r>
    </w:p>
    <w:bookmarkEnd w:id="2111"/>
    <w:bookmarkStart w:name="637603567" w:id="21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реконструируемых и сооружаемых взамен пришедших в негодность ВЛ с ранее подвешенными на общих опорах неизолированными проводами ПВ допускается совместная подвеска проводов ВЛ и изолированных проводов ПВ.</w:t>
      </w:r>
    </w:p>
    <w:bookmarkEnd w:id="2112"/>
    <w:bookmarkStart w:name="637603568" w:id="2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должны соблюдаться следующие условия:</w:t>
      </w:r>
    </w:p>
    <w:bookmarkEnd w:id="2113"/>
    <w:bookmarkStart w:name="637603569" w:id="2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номинальное напряжение ВЛ должно быть не более 380/220 В;</w:t>
      </w:r>
    </w:p>
    <w:bookmarkEnd w:id="2114"/>
    <w:bookmarkStart w:name="637603570" w:id="2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номинальное напряжение между проводами ПВ должно быть не более 360 В;</w:t>
      </w:r>
    </w:p>
    <w:bookmarkEnd w:id="2115"/>
    <w:bookmarkStart w:name="637603571" w:id="2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расстояние от нижних проводов ПВ до земли, между цепями ПВ и их проводами;</w:t>
      </w:r>
    </w:p>
    <w:bookmarkEnd w:id="2116"/>
    <w:bookmarkStart w:name="637603572" w:id="2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провода ВЛ должны располагаться над проводами ПВ при этом, расстояние на опоре по вертикали от нижнего провода ВЛ до верхнего провода ПВ, независимо от их взаимного расположения, должно быть не менее 1,5 м, а в пролете – не менее 1,25 м при расположении проводов ПВ на кронштейнах это расстояние принимается от нижнего провода ВЛ, расположенного на той же стороне, что и провода ПВ.</w:t>
      </w:r>
    </w:p>
    <w:bookmarkEnd w:id="2117"/>
    <w:bookmarkStart w:name="637603573" w:id="2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575. Допускается совместная подвеска на общих опорах изолированных проводов ВЛ (СИП) напряжением не более 380/220 В с неизолированными или изолированными проводами или кабелями ЛС и неметаллическими самонесущими волоконно-оптическими кабелями связи (ОКСН) при соблюдении специально оговоренных и согласованных условий, а также требований 679 для изолированных проводов ПВ.</w:t>
      </w:r>
    </w:p>
    <w:bookmarkEnd w:id="2118"/>
    <w:bookmarkStart w:name="637603574" w:id="2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576. При пересечении и параллельном следовании ВЛ с железными дорогами, а также автомобильными дорогами категорий I и II должны выполняться требования, изложенные в главе 11 настоящих Правил.</w:t>
      </w:r>
    </w:p>
    <w:bookmarkEnd w:id="2119"/>
    <w:bookmarkStart w:name="637603575" w:id="2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Пересечения выполняются также при помощи кабельной вставки в ВЛ.</w:t>
      </w:r>
    </w:p>
    <w:bookmarkEnd w:id="2120"/>
    <w:bookmarkStart w:name="637603576" w:id="2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Выбор варианта пересечения должен производиться на основании технико-экономических расчетов.</w:t>
      </w:r>
    </w:p>
    <w:bookmarkEnd w:id="2121"/>
    <w:bookmarkStart w:name="637603577" w:id="2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6 м. 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главе 27 настоящих Правил.</w:t>
      </w:r>
    </w:p>
    <w:bookmarkEnd w:id="2122"/>
    <w:bookmarkStart w:name="637603578" w:id="2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577.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быть заземлены с сопротивлением заземляющего устройства не более 10 Ом.</w:t>
      </w:r>
    </w:p>
    <w:bookmarkEnd w:id="2123"/>
    <w:bookmarkStart w:name="637603579" w:id="21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578.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bookmarkEnd w:id="2124"/>
    <w:bookmarkStart w:name="637603580" w:id="21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ВЛ располагаются вне зоны, занятой сооружениями контактных сетей, включая опоры. В этой зоне опоры ВЛ должны быть анкерного типа, а неизолированные провода должны иметь двойное крепление;</w:t>
      </w:r>
    </w:p>
    <w:bookmarkEnd w:id="2125"/>
    <w:bookmarkStart w:name="637603581" w:id="2126"/>
    <w:p>
      <w:pPr>
        <w:spacing w:before="120" w:after="120" w:line="240"/>
        <w:ind w:left="0"/>
        <w:jc w:val="both"/>
      </w:pPr>
      <w:r>
        <w:rPr>
          <w:rFonts w:hint="default" w:ascii="Times New Roman" w:hAnsi="Times New Roman"/>
          <w:b w:val="false"/>
          <w:i w:val="false"/>
          <w:color w:val="000000"/>
          <w:sz w:val="24"/>
        </w:rP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сталеалюминиевые –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Соединение проводов ВЛ в пролетах пересечений не допускается;</w:t>
      </w:r>
    </w:p>
    <w:bookmarkEnd w:id="2126"/>
    <w:bookmarkStart w:name="637603582" w:id="2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прохождения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опоры ВЛ должны быть анкерного типа, а крепление проводов – двойное;</w:t>
      </w:r>
    </w:p>
    <w:bookmarkEnd w:id="2127"/>
    <w:bookmarkStart w:name="637603583" w:id="21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пересечение ВЛ с контактными проводами в местах расположения поперечин не допускается;</w:t>
      </w:r>
    </w:p>
    <w:bookmarkEnd w:id="2128"/>
    <w:bookmarkStart w:name="637603584" w:id="2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bookmarkEnd w:id="2129"/>
    <w:bookmarkStart w:name="637603585" w:id="2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настоящего параграфа не распространяются на линии уличного освещения.</w:t>
      </w:r>
    </w:p>
    <w:bookmarkEnd w:id="2130"/>
    <w:bookmarkStart w:name="637603586" w:id="2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579. При пересечении и сближении ВЛ с канатными дорогами и надземными металлическими трубопроводами должны быть выполнены следующие требования:</w:t>
      </w:r>
    </w:p>
    <w:bookmarkEnd w:id="2131"/>
    <w:bookmarkStart w:name="637603587" w:id="2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ВЛ должна проходить под канатной дорогой; прохождение ВЛ над канатной дорогой не допускается;</w:t>
      </w:r>
    </w:p>
    <w:bookmarkEnd w:id="2132"/>
    <w:bookmarkStart w:name="637603588" w:id="2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канатные дороги должны иметь снизу мостки или сетки для ограждения проводов ВЛ;</w:t>
      </w:r>
    </w:p>
    <w:bookmarkEnd w:id="2133"/>
    <w:bookmarkStart w:name="637603589" w:id="2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прохождении ВЛ под канатной дорогой или под трубопроводом провода ВЛ при наименьшей стреле провеса должны находиться от них на расстоянии: до мостков или ограждающих сеток канатной дороги или до трубопровода – не менее 1 м при наибольшей стреле провеса и наибольшем отклонении проводов до элементов канатной дороги или до трубопровода – не менее 1 м;</w:t>
      </w:r>
    </w:p>
    <w:bookmarkEnd w:id="2134"/>
    <w:bookmarkStart w:name="637603590" w:id="2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bookmarkEnd w:id="2135"/>
    <w:bookmarkStart w:name="637603591" w:id="2136"/>
    <w:p>
      <w:pPr>
        <w:spacing w:before="120" w:after="120" w:line="240"/>
        <w:ind w:left="0"/>
        <w:jc w:val="center"/>
      </w:pPr>
      <w:r>
        <w:rPr>
          <w:rFonts w:hint="default" w:ascii="Times New Roman" w:hAnsi="Times New Roman"/>
          <w:b/>
          <w:i w:val="false"/>
          <w:color w:val="000000"/>
          <w:sz w:val="24"/>
        </w:rPr>
        <w:t>РАЗДЕЛ 2. Защита и автоматика</w:t>
      </w:r>
    </w:p>
    <w:bookmarkEnd w:id="2136"/>
    <w:bookmarkStart w:name="637603592" w:id="2137"/>
    <w:p>
      <w:pPr>
        <w:spacing w:before="120" w:after="120" w:line="240"/>
        <w:ind w:left="0"/>
        <w:jc w:val="both"/>
      </w:pPr>
      <w:r>
        <w:rPr>
          <w:rFonts w:hint="default" w:ascii="Times New Roman" w:hAnsi="Times New Roman"/>
          <w:b/>
          <w:i w:val="false"/>
          <w:color w:val="000000"/>
          <w:sz w:val="24"/>
        </w:rPr>
        <w:t>12. Защита электрических сетей напряжением до 1 кВ</w:t>
      </w:r>
    </w:p>
    <w:bookmarkEnd w:id="2137"/>
    <w:bookmarkStart w:name="637603593" w:id="2138"/>
    <w:p>
      <w:pPr>
        <w:spacing w:before="120" w:after="120" w:line="240"/>
        <w:ind w:left="0"/>
        <w:jc w:val="center"/>
      </w:pPr>
      <w:r>
        <w:rPr>
          <w:rFonts w:hint="default" w:ascii="Times New Roman" w:hAnsi="Times New Roman"/>
          <w:b/>
          <w:i w:val="false"/>
          <w:color w:val="000000"/>
          <w:sz w:val="24"/>
        </w:rPr>
        <w:t>Параграф 1. Выбор и требования к аппаратам защиты</w:t>
      </w:r>
    </w:p>
    <w:bookmarkEnd w:id="2138"/>
    <w:bookmarkStart w:name="637603594" w:id="21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580. В качестве аппаратов защиты должны применяться автоматические выключатели или предохранители. Применяются автоматические выключатели с комбинированным расцепителем.</w:t>
      </w:r>
    </w:p>
    <w:bookmarkEnd w:id="2139"/>
    <w:bookmarkStart w:name="637603595" w:id="2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требований быстродействия, чувствительности, селективности при необходимости применяются устройства защиты с использованием выносных реле (реле косвенного действия). При этом, коэффициент чувствительности этих защит в конце защищаемой зоны должен быть не менее 1,5.</w:t>
      </w:r>
    </w:p>
    <w:bookmarkEnd w:id="2140"/>
    <w:bookmarkStart w:name="637603596" w:id="2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581. Аппараты защиты по своей отключающей способности должны соответствовать максимальному значению тока K3 в начале защищаемого участка электрической сети, то есть они должны быть стойкими при этом, токе в соответствии с определением главы 4 настоящих Правил.</w:t>
      </w:r>
    </w:p>
    <w:bookmarkEnd w:id="2141"/>
    <w:bookmarkStart w:name="637603597" w:id="21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аппаратов защиты, не стойких при максимальных значениях токов K3, если защищающий их групповой автоматический выключатель или ближайший автоматический выключатель, расположенный по направлению к источнику питания, обеспечивает мгновенное отключение тока K3. Для этого необходимо, чтобы ток уставки мгновенно действующего расцепителя (отсечки без выдержки времени) указанных выключателей был меньше тока одноразовой предельной коммутационной способности каждого из группы защищаемых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p>
    <w:bookmarkEnd w:id="2142"/>
    <w:bookmarkStart w:name="637603598" w:id="2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582. Номинальные токи плавких вставок предохранителей и номинальные токи или уставки расцепителей автоматических выключателей, служащих для защиты отдельных участков сети, во всех случаях выбираются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w:t>
      </w:r>
    </w:p>
    <w:bookmarkEnd w:id="2143"/>
    <w:bookmarkStart w:name="637603599" w:id="21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583. Автоматические выключатели и предохранители пробочного типа должны присоединяться к сети, таким образом, чтобы при вывинченной пробке предохранителя (автоматического выключателя) винтовая гильза оставалась без напряжения. При одностороннем питании присоединение питающего проводника (кабеля или провода) к аппарату защиты должно выполняться, к неподвижным контактам коммутационного аппарата.</w:t>
      </w:r>
    </w:p>
    <w:bookmarkEnd w:id="2144"/>
    <w:bookmarkStart w:name="637603600" w:id="2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присоединения питающего проводника к подвижным контактам автоматического выключателя следует иметь в виду, что в этом случае предельная коммутационная способность некоторых типов автоматических выключателей уменьшается.</w:t>
      </w:r>
    </w:p>
    <w:bookmarkEnd w:id="2145"/>
    <w:bookmarkStart w:name="637603601" w:id="2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584.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w:t>
      </w:r>
    </w:p>
    <w:bookmarkEnd w:id="2146"/>
    <w:bookmarkStart w:name="637603602" w:id="21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дверцах шкафов или щитков, в которых устанавливаются аппараты защиты, размещаются схемы с указанием необходимых для защиты сети уставок расцепителей автоматических выключателей и номинальных токов плавких вставок предохранителей.</w:t>
      </w:r>
    </w:p>
    <w:bookmarkEnd w:id="2147"/>
    <w:bookmarkStart w:name="637603603" w:id="2148"/>
    <w:p>
      <w:pPr>
        <w:spacing w:before="120" w:after="120" w:line="240"/>
        <w:ind w:left="0"/>
        <w:jc w:val="center"/>
      </w:pPr>
      <w:r>
        <w:rPr>
          <w:rFonts w:hint="default" w:ascii="Times New Roman" w:hAnsi="Times New Roman"/>
          <w:b/>
          <w:i w:val="false"/>
          <w:color w:val="000000"/>
          <w:sz w:val="24"/>
        </w:rPr>
        <w:t>Параграф 2. Выбор защиты</w:t>
      </w:r>
    </w:p>
    <w:bookmarkEnd w:id="2148"/>
    <w:bookmarkStart w:name="637603604" w:id="21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585. Электрические сети должны иметь защиту от токов K3, обеспечивающую по возможности наименьшее время отключения и требования селективности.</w:t>
      </w:r>
    </w:p>
    <w:bookmarkEnd w:id="2149"/>
    <w:bookmarkStart w:name="637603605" w:id="2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обеспечивать отключение поврежденного участка при наименьшем значении токов K3 в конце защищаемой линии одно-, двух- и трехфазных – в сетях с глухозаземленной нейтралью двух- и трехфазных – в сетях с изолированной нейтралью.</w:t>
      </w:r>
    </w:p>
    <w:bookmarkEnd w:id="2150"/>
    <w:bookmarkStart w:name="637603606" w:id="2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наименьшего значения тока K3 должны учитываться активные и индуктивные сопротивления цепи короткого замыкания, включая активное сопротивление электрической дуги, а также увеличение активного сопротивления проводника в результате нагрева.</w:t>
      </w:r>
    </w:p>
    <w:bookmarkEnd w:id="2151"/>
    <w:bookmarkStart w:name="637603607" w:id="2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586. Для надежного отключения поврежденного участка сети необходимо, чтобы кратность величины наименьшего расчетного тока K3 в конце защищаемой линии была по отношению:</w:t>
      </w:r>
    </w:p>
    <w:bookmarkEnd w:id="2152"/>
    <w:bookmarkStart w:name="637603608" w:id="2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 номинальному току плавкой вставки предохранителя – не менее 3;</w:t>
      </w:r>
    </w:p>
    <w:bookmarkEnd w:id="2153"/>
    <w:bookmarkStart w:name="637603609" w:id="2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 номинальному току нерегулируемого расцепителя автоматического выключателя с обратно зависимой от тока характеристикой – не менее 3;</w:t>
      </w:r>
    </w:p>
    <w:bookmarkEnd w:id="2154"/>
    <w:bookmarkStart w:name="637603610" w:id="2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 уставке по току срабатывания регулируемого расцепителя автоматического выключателя с обратно зависимой от тока характеристикой – не менее 3;</w:t>
      </w:r>
    </w:p>
    <w:bookmarkEnd w:id="2155"/>
    <w:bookmarkStart w:name="637603611" w:id="2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 верхнему значению тока срабатывания автоматического выключателя, имеющего только мгновенно действующий или селективный максимальный расцепитель тока (отсечку) – не менее 1,1.</w:t>
      </w:r>
    </w:p>
    <w:bookmarkEnd w:id="2156"/>
    <w:bookmarkStart w:name="637603612" w:id="21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пожароопасных зон кратности тока K3 устанавливаются в главе 25 настоящих Правил.</w:t>
      </w:r>
    </w:p>
    <w:bookmarkEnd w:id="2157"/>
    <w:bookmarkStart w:name="637603613" w:id="21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587. Защиту от перегрузки должны иметь электрические сети, выполненные с использованием СИП, а также следующие сети внутри помещений:</w:t>
      </w:r>
    </w:p>
    <w:bookmarkEnd w:id="2158"/>
    <w:bookmarkStart w:name="637603614" w:id="21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электрические сети, выполненные открыто проложенными проводниками с горючей наружной оболочкой или горючей наружной изоляцией;</w:t>
      </w:r>
    </w:p>
    <w:bookmarkEnd w:id="2159"/>
    <w:bookmarkStart w:name="637603615" w:id="21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групповые осветительные сети в жилых и общественных зданиях и сооружениях,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а также в пожароопасных зонах;</w:t>
      </w:r>
    </w:p>
    <w:bookmarkEnd w:id="2160"/>
    <w:bookmarkStart w:name="637603616" w:id="21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силовые сети в жилых и общественных зданиях и сооружениях, торговых помещениях, на промышленных предприятиях, – только в случае, когда по условиям технологического процесса или по режиму работы сети может возникать длительная перегрузка проводников;</w:t>
      </w:r>
    </w:p>
    <w:bookmarkEnd w:id="2161"/>
    <w:bookmarkStart w:name="637603617" w:id="2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сети специальных установок.</w:t>
      </w:r>
    </w:p>
    <w:bookmarkEnd w:id="2162"/>
    <w:bookmarkStart w:name="637603618" w:id="21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588. В сетях, защищаемых от перегрузки, кратность токов аппаратов защиты по отношению к длительно допустимым токовым нагрузкам защищаемых проводников должна быть не более:</w:t>
      </w:r>
    </w:p>
    <w:bookmarkEnd w:id="2163"/>
    <w:bookmarkStart w:name="637603619" w:id="21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0,8 – для номинального тока плавкой вставки или тока уставки автоматического выключателя, имеющего только максимальный мгновеннодействующий расцепитель (отсечку);</w:t>
      </w:r>
    </w:p>
    <w:bookmarkEnd w:id="2164"/>
    <w:bookmarkStart w:name="637603620" w:id="21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1,0 – для номинального тока автоматического выключателя с нерегулируемой обратнозависимой от тока характеристикой (независимо от наличия отсечки);</w:t>
      </w:r>
    </w:p>
    <w:bookmarkEnd w:id="2165"/>
    <w:bookmarkStart w:name="637603621" w:id="21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1,25 – для тока срабатывания автоматического выключателя с регулируемой обратно зависящей от тока характеристикой (независимо от наличия отсечки).</w:t>
      </w:r>
    </w:p>
    <w:bookmarkEnd w:id="2166"/>
    <w:bookmarkStart w:name="637603622" w:id="21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589. Для кабельных сетей собственных нужд электростанций токовая отсечка должна обеспечивать коэффициент чувствительности не менее 1,3 при междуфазных и однофазных K3 в конце защищаемого кабеля. При этом, в случае необходимости для защиты от однофазных K3 в конце кабеля должна выполняться отдельная защита, не требующая отстройки от пусковых токов присоединения, с коэффициентом чувствительности не менее 1,5. Допускается не охватывать отсечкой всю длину защищаемой кабельной линии, если при работе расцепителя с обратнозависимой от тока характеристикой обеспечиваются термическая стойкость кабеля и селективность защиты.</w:t>
      </w:r>
    </w:p>
    <w:bookmarkEnd w:id="2167"/>
    <w:bookmarkStart w:name="637603623" w:id="2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кабельных сетей собственных нужд электростанций обеспечивается резервирование защит смежных участков.</w:t>
      </w:r>
    </w:p>
    <w:bookmarkEnd w:id="2168"/>
    <w:bookmarkStart w:name="637603624" w:id="2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590. Для защиты электроустановок постоянного тока применяются автоматические выключатели с комбинированным расцепителем или специальную выносную релейную защиту. Допускается применение предохранителей. Для обеспечения селективности отключения поврежденного участка должны быть выполнены следующие условия:</w:t>
      </w:r>
    </w:p>
    <w:bookmarkEnd w:id="2169"/>
    <w:bookmarkStart w:name="637603625" w:id="21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применении автоматических выключателей все K3 в основной зоне защиты должны отключаться токовой отсечкой с коэффициентом чувствительности не менее 1,5 K3 в зоне резервирования должны отключаться с коэффициентом чувствительности не менее 1,3. Допускается резервирование осуществлять с использованием расцепителя с обратнозависимой от тока характеристикой при условии обеспечения термической стойкости кабеля;</w:t>
      </w:r>
    </w:p>
    <w:bookmarkEnd w:id="2170"/>
    <w:bookmarkStart w:name="637603626" w:id="21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применении выносной релейной защиты коэффициенты чувствительности должны быть не менее: для основной зоны – 1,5 для зоны резервирования – 1,2;</w:t>
      </w:r>
    </w:p>
    <w:bookmarkEnd w:id="2171"/>
    <w:bookmarkStart w:name="637603627" w:id="21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применении предохранителей коэффициенты чувствительности должны быть не менее: для основной зоны – 5 для зоны резервирования – 3.</w:t>
      </w:r>
    </w:p>
    <w:bookmarkEnd w:id="2172"/>
    <w:bookmarkStart w:name="637603628" w:id="2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591. На воздушных двухцепных линиях расцепитель автоматического выключателя или выносную токовую защиту в нулевом проводе не устанавливаются, если эти линии имеют общий нулевой провод.</w:t>
      </w:r>
    </w:p>
    <w:bookmarkEnd w:id="2173"/>
    <w:bookmarkStart w:name="637603629" w:id="2174"/>
    <w:p>
      <w:pPr>
        <w:spacing w:before="120" w:after="120" w:line="240"/>
        <w:ind w:left="0"/>
        <w:jc w:val="center"/>
      </w:pPr>
      <w:r>
        <w:rPr>
          <w:rFonts w:hint="default" w:ascii="Times New Roman" w:hAnsi="Times New Roman"/>
          <w:b/>
          <w:i w:val="false"/>
          <w:color w:val="000000"/>
          <w:sz w:val="24"/>
        </w:rPr>
        <w:t>Параграф 3. Места установки аппаратов защиты</w:t>
      </w:r>
    </w:p>
    <w:bookmarkEnd w:id="2174"/>
    <w:bookmarkStart w:name="637603630" w:id="2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592. Аппараты защиты располагаются в удобных для обслуживания местах таким образом, чтобы была исключена возможность их случайных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p>
    <w:bookmarkEnd w:id="2175"/>
    <w:bookmarkStart w:name="637603631" w:id="2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Аппараты защиты с открытыми токоведущими частями должны быть доступны для обслуживания только квалифицированному персоналу.</w:t>
      </w:r>
    </w:p>
    <w:bookmarkEnd w:id="2176"/>
    <w:bookmarkStart w:name="637603632" w:id="21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593. Аппараты защиты, устанавливаются в местах сети, где сечение проводника уменьшается (по направлению к месту потребления электроэнергии) и где это необходимо для обеспечения чувствительности и селективности защиты.</w:t>
      </w:r>
    </w:p>
    <w:bookmarkEnd w:id="2177"/>
    <w:bookmarkStart w:name="637603633" w:id="2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594. Аппараты защиты должны устанавливаться непосредственно в местах присоединения защищаемых проводников к питающей линии.</w:t>
      </w:r>
    </w:p>
    <w:bookmarkEnd w:id="2178"/>
    <w:bookmarkStart w:name="637603634" w:id="2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аппаратов защиты ответвления на некотором расстоянии от места присоединения ответвления к питающей линии при выполнении следующих условий:</w:t>
      </w:r>
    </w:p>
    <w:bookmarkEnd w:id="2179"/>
    <w:bookmarkStart w:name="637603635" w:id="21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длина участка от места присоединения к питающей линии до аппарата не превышает 3 м;</w:t>
      </w:r>
    </w:p>
    <w:bookmarkEnd w:id="2180"/>
    <w:bookmarkStart w:name="637603636" w:id="2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ответвление на этом участке выполняется кабелем в оболочке, не распространяющей горение, или проложенным в несгораемых трубах, металлорукавах, коробах;</w:t>
      </w:r>
    </w:p>
    <w:bookmarkEnd w:id="2181"/>
    <w:bookmarkStart w:name="637603637" w:id="2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вблизи этого участка не располагаются горючие вещества.</w:t>
      </w:r>
    </w:p>
    <w:bookmarkEnd w:id="2182"/>
    <w:bookmarkStart w:name="637603638" w:id="21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595.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проводниках не допускается.</w:t>
      </w:r>
    </w:p>
    <w:bookmarkEnd w:id="2183"/>
    <w:bookmarkStart w:name="637603639" w:id="2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596. При защите сетей автоматическими выключателями расцепители их должны устанавливаться во всех нормально незаземленных проводниках.</w:t>
      </w:r>
    </w:p>
    <w:bookmarkEnd w:id="2184"/>
    <w:bookmarkStart w:name="637603640" w:id="2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Расцепители в нулевых проводниках допускается устанавливать лишь при условии, когда при их срабатывании отключаются от сети одновременно все проводники данного присоединения.</w:t>
      </w:r>
    </w:p>
    <w:bookmarkEnd w:id="2185"/>
    <w:bookmarkStart w:name="637603641" w:id="2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597. Аппараты защиты допускается не устанавливать, если это целесообразно по условиям эксплуатации, в местах:</w:t>
      </w:r>
    </w:p>
    <w:bookmarkEnd w:id="2186"/>
    <w:bookmarkStart w:name="637603642" w:id="2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ответвления проводников от шин щита к аппаратам, установленным на том же щите; при этом, проводники должны выбираться по расчетному току ответвления;</w:t>
      </w:r>
    </w:p>
    <w:bookmarkEnd w:id="2187"/>
    <w:bookmarkStart w:name="637603643" w:id="2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снижения сечения питающей линии по ее длине и на ответвлениях от нее, если защита предыдущего участка линии защищает участок со сниженным сечением;</w:t>
      </w:r>
    </w:p>
    <w:bookmarkEnd w:id="2188"/>
    <w:bookmarkStart w:name="637603644" w:id="2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либо если эти проводники выходят за их пределы, но проложены в несгораемых трубах или имеют негорючую оболочку.</w:t>
      </w:r>
    </w:p>
    <w:bookmarkEnd w:id="2189"/>
    <w:bookmarkStart w:name="637603645" w:id="2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пункте 838 настоящих Правил.</w:t>
      </w:r>
    </w:p>
    <w:bookmarkEnd w:id="2190"/>
    <w:bookmarkStart w:name="637603646" w:id="2191"/>
    <w:p>
      <w:pPr>
        <w:spacing w:before="120" w:after="120" w:line="240"/>
        <w:ind w:left="0"/>
        <w:jc w:val="both"/>
      </w:pPr>
      <w:r>
        <w:rPr>
          <w:rFonts w:hint="default" w:ascii="Times New Roman" w:hAnsi="Times New Roman"/>
          <w:b/>
          <w:i w:val="false"/>
          <w:color w:val="000000"/>
          <w:sz w:val="24"/>
        </w:rPr>
        <w:t>13. Релейная защита</w:t>
      </w:r>
    </w:p>
    <w:bookmarkEnd w:id="2191"/>
    <w:bookmarkStart w:name="637603647" w:id="2192"/>
    <w:p>
      <w:pPr>
        <w:spacing w:before="120" w:after="120" w:line="240"/>
        <w:ind w:left="0"/>
        <w:jc w:val="center"/>
      </w:pPr>
      <w:r>
        <w:rPr>
          <w:rFonts w:hint="default" w:ascii="Times New Roman" w:hAnsi="Times New Roman"/>
          <w:b/>
          <w:i w:val="false"/>
          <w:color w:val="000000"/>
          <w:sz w:val="24"/>
        </w:rPr>
        <w:t>Параграф 1. Область применения</w:t>
      </w:r>
    </w:p>
    <w:bookmarkEnd w:id="2192"/>
    <w:bookmarkStart w:name="637603648" w:id="21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598. Настоящая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p>
    <w:bookmarkEnd w:id="2193"/>
    <w:bookmarkStart w:name="637603649" w:id="21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Правил не рассматривается.</w:t>
      </w:r>
    </w:p>
    <w:bookmarkEnd w:id="2194"/>
    <w:bookmarkStart w:name="637603650" w:id="2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релейной защиты элементов электроустановок, не рассмотренные в этой и других главах, должны выполняться в соответствии с общими требованиями настоящей главы.</w:t>
      </w:r>
    </w:p>
    <w:bookmarkEnd w:id="2195"/>
    <w:bookmarkStart w:name="637603651" w:id="2196"/>
    <w:p>
      <w:pPr>
        <w:spacing w:before="120" w:after="120" w:line="240"/>
        <w:ind w:left="0"/>
        <w:jc w:val="center"/>
      </w:pPr>
      <w:r>
        <w:rPr>
          <w:rFonts w:hint="default" w:ascii="Times New Roman" w:hAnsi="Times New Roman"/>
          <w:b/>
          <w:i w:val="false"/>
          <w:color w:val="000000"/>
          <w:sz w:val="24"/>
        </w:rPr>
        <w:t>Параграф 2. Общие положения</w:t>
      </w:r>
    </w:p>
    <w:bookmarkEnd w:id="2196"/>
    <w:bookmarkStart w:name="637603652" w:id="2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599. Электроустановки должны быть оборудованы устройствами релейной защиты, предназначенными для:</w:t>
      </w:r>
    </w:p>
    <w:bookmarkEnd w:id="2197"/>
    <w:bookmarkStart w:name="637603653" w:id="21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непосредственно не нарушает работу электрической системы, допускается действие релейной защиты только на сигнал;</w:t>
      </w:r>
    </w:p>
    <w:bookmarkEnd w:id="2198"/>
    <w:bookmarkStart w:name="637603654" w:id="2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реагирования на опасные, ненормальные режимы работы элементов электрической системы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p>
    <w:bookmarkEnd w:id="2199"/>
    <w:bookmarkStart w:name="637603655" w:id="2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600. С целью удешевления электроустановок вместо автоматических выключателей и релейной защиты применяются предохранители или открытые плавкие вставки, если они:</w:t>
      </w:r>
    </w:p>
    <w:bookmarkEnd w:id="2200"/>
    <w:bookmarkStart w:name="637603656" w:id="2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выбраны с требуемыми параметрами (номинальные напряжение и ток, номинальный ток отключения);</w:t>
      </w:r>
    </w:p>
    <w:bookmarkEnd w:id="2201"/>
    <w:bookmarkStart w:name="637603657" w:id="2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обеспечивают требуемые селективность и чувствительность;</w:t>
      </w:r>
    </w:p>
    <w:bookmarkEnd w:id="2202"/>
    <w:bookmarkStart w:name="637603658" w:id="2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не препятствуют применению автоматики (автоматическое повторное включение – АПВ, автоматическое включение резерва – АВР), необходимой по условиям работы электроустановки.</w:t>
      </w:r>
    </w:p>
    <w:bookmarkEnd w:id="2203"/>
    <w:bookmarkStart w:name="637603659" w:id="22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рассматривается необходимость установки на приемной подстанции защиты от неполнофазного режима.</w:t>
      </w:r>
    </w:p>
    <w:bookmarkEnd w:id="2204"/>
    <w:bookmarkStart w:name="637603660" w:id="2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601.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ограничения области и степени повреждения элемента.</w:t>
      </w:r>
    </w:p>
    <w:bookmarkEnd w:id="2205"/>
    <w:bookmarkStart w:name="637603661" w:id="2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602 Релейная защита, действующая на отключение,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p>
    <w:bookmarkEnd w:id="2206"/>
    <w:bookmarkStart w:name="637603662" w:id="2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неселективное действие защиты (исправляемое последующим действием АПВ или АВР):</w:t>
      </w:r>
    </w:p>
    <w:bookmarkEnd w:id="2207"/>
    <w:bookmarkStart w:name="637603663" w:id="2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обеспечения, если это необходимо, ускорения отключения КЗ;</w:t>
      </w:r>
    </w:p>
    <w:bookmarkEnd w:id="2208"/>
    <w:bookmarkStart w:name="637603664" w:id="22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p>
    <w:bookmarkEnd w:id="2209"/>
    <w:bookmarkStart w:name="637603665" w:id="2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603. Устройства релейной защиты с выдержками времени, обеспечивающими селективность действия, допускается выполнять, если:</w:t>
      </w:r>
    </w:p>
    <w:bookmarkEnd w:id="2210"/>
    <w:bookmarkStart w:name="637603666" w:id="2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отключении КЗ с выдержками времени обеспечивается выполнение требований пункта 600 настоящих Правил;</w:t>
      </w:r>
    </w:p>
    <w:bookmarkEnd w:id="2211"/>
    <w:bookmarkStart w:name="637603667" w:id="2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защита действует в качестве резервной.</w:t>
      </w:r>
    </w:p>
    <w:bookmarkEnd w:id="2212"/>
    <w:bookmarkStart w:name="637603668" w:id="2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ступенчатых защит (дистанционных, токовых от многофазных КЗ и КЗ на землю) первые ступени охватывают часть линии, и повреждения на этом участке защита будет отключать без выдержки времени (т.е. Т1 = 0,00 сек). Для последующих ступеней выдержка времени выбирается по ступенчатому принципу. При выборе выдержки времени должно учитываться время отключения силового выключателя, включая разброс, время возврата устройств защиты. В случае применения элегазовых выключателей и с учетом собственного времени работы микропроцессорных устройств защиты ступень селективности с запасом может быть принята 0,2–0,4 сек (а не 0,5 сек – как для масляных и воздушных выключателей и схем с электромеханическими реле защит).</w:t>
      </w:r>
    </w:p>
    <w:bookmarkEnd w:id="2213"/>
    <w:bookmarkStart w:name="637603669" w:id="22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604.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p>
    <w:bookmarkEnd w:id="2214"/>
    <w:bookmarkStart w:name="637603670" w:id="22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используются специальные меры повышения надежности функционирования, в частности, схемное резервирование, непрерывный или периодический контроль состояния. Должна также учитываться вероятность ошибочных действий обслуживающего персонала при выполнении необходимых операций с релейной защитой.</w:t>
      </w:r>
    </w:p>
    <w:bookmarkEnd w:id="2215"/>
    <w:bookmarkStart w:name="637603671" w:id="2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605. При наличии релейной защиты, имеющей цепи напряжения, предусматриваются устройства:</w:t>
      </w:r>
    </w:p>
    <w:bookmarkEnd w:id="2216"/>
    <w:bookmarkStart w:name="637603672" w:id="2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p>
    <w:bookmarkEnd w:id="2217"/>
    <w:bookmarkStart w:name="637603673" w:id="22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w:t>
      </w:r>
    </w:p>
    <w:bookmarkEnd w:id="2218"/>
    <w:bookmarkStart w:name="637603674" w:id="2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606.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p>
    <w:bookmarkEnd w:id="2219"/>
    <w:bookmarkStart w:name="637603675" w:id="2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а именно: около 0,06–0,08 сек;</w:t>
      </w:r>
    </w:p>
    <w:bookmarkEnd w:id="2220"/>
    <w:bookmarkStart w:name="637603676" w:id="22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пусковые органы защиты, срабатывающие от импульса тока разрядников, должны иметь возможно меньшее время возврата (около 0,01 сек от момента исчезновения импульса).</w:t>
      </w:r>
    </w:p>
    <w:bookmarkEnd w:id="2221"/>
    <w:bookmarkStart w:name="637603677" w:id="2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607. Для релейных защит с выдержками времени в каждом конкретном случае рассматривается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w:t>
      </w:r>
    </w:p>
    <w:bookmarkEnd w:id="2222"/>
    <w:bookmarkStart w:name="637603678" w:id="2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608.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p>
    <w:bookmarkEnd w:id="2223"/>
    <w:bookmarkStart w:name="637603679" w:id="2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p>
    <w:bookmarkEnd w:id="2224"/>
    <w:bookmarkStart w:name="637603680" w:id="2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выполнение защиты без блокировки при качаниях, если защита отстроена от качаний по времени (выдержка времени защиты – около 1,5–2 с).</w:t>
      </w:r>
    </w:p>
    <w:bookmarkEnd w:id="2225"/>
    <w:bookmarkStart w:name="637603681" w:id="2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609. Действие релейной защиты должно фиксироваться указательными реле, встроенными в реле указателями срабатывания, счетчиками числа срабатываний, регистраторами аварийных событий (РАС) и другими устройствами в той степени, в какой это необходимо для учета и анализа работы защит.</w:t>
      </w:r>
    </w:p>
    <w:bookmarkEnd w:id="2226"/>
    <w:bookmarkStart w:name="637603682" w:id="2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610. Устройства, фиксирующие действие релейной защиты на отключение, устанавливается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w:t>
      </w:r>
    </w:p>
    <w:bookmarkEnd w:id="2227"/>
    <w:bookmarkStart w:name="637603683" w:id="2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611.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p>
    <w:bookmarkEnd w:id="2228"/>
    <w:bookmarkStart w:name="637603684" w:id="2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особо ответственных элементах электроустановки: линиях 500 кВ, автотрансформаторах связи с высшим напряжением 500 кВ, шунтирующих реакторах 500 кВ, шинах (ошиновках) 500 кВ и синхронных компенсаторах, генераторах и трансформаторах блоков АЭС или большой мощности тепловых и гидравлических станций и элементах КРУЭ, устанавливаются по две основные защиты.</w:t>
      </w:r>
    </w:p>
    <w:bookmarkEnd w:id="2229"/>
    <w:bookmarkStart w:name="637603685" w:id="2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612. Для действия при отказах защит или выключателей смежных элементов предусматривается резервная защита, предназначенную для обеспечения дальнего резервного действия.</w:t>
      </w:r>
    </w:p>
    <w:bookmarkEnd w:id="2230"/>
    <w:bookmarkStart w:name="637603686" w:id="2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основная защита элемента обладает абсолютной селективностью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действующая при отказе основной защиты данного элемента или вывода ее из работы. Если в качестве основной защиты от замыканий между фазами применена дифференциально-фазная защита, то в качестве резервной может быть применена ступенчатая дистанционная защита.</w:t>
      </w:r>
    </w:p>
    <w:bookmarkEnd w:id="2231"/>
    <w:bookmarkStart w:name="637603687" w:id="2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основная защита линии 110 кВ и выше обладает относительной селективностью, то:</w:t>
      </w:r>
    </w:p>
    <w:bookmarkEnd w:id="2232"/>
    <w:bookmarkStart w:name="637603688" w:id="2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p>
    <w:bookmarkEnd w:id="2233"/>
    <w:bookmarkStart w:name="637603689" w:id="22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должны предусматриваться меры по обеспечению ближнего резервирования, если дальнее резервирование при КЗ на этой линии не обеспечиваются.</w:t>
      </w:r>
    </w:p>
    <w:bookmarkEnd w:id="2234"/>
    <w:bookmarkStart w:name="637603690" w:id="2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100 % «ближнем» резервировании (основная защита элемента обладает абсолютной селективностью и наличием на данном элементе резервной защиты, выполняющей функции не только дальнего, но и ближнего резервирования), при наличии УРОВ, дальнее резервирование при КЗ на этом элементе допустимо не обеспечивать.</w:t>
      </w:r>
    </w:p>
    <w:bookmarkEnd w:id="2235"/>
    <w:bookmarkStart w:name="637603691" w:id="2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613. Для линии электропередачи 35 кВ и выше с целью повышения надежности отключения повреждения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пункта 622 настоящих Правил.</w:t>
      </w:r>
    </w:p>
    <w:bookmarkEnd w:id="2236"/>
    <w:bookmarkStart w:name="637603692" w:id="2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614. Если полное обеспечение дальнего резервирования связано со значительным усложнением защиты или технически невозможно допускается:</w:t>
      </w:r>
    </w:p>
    <w:bookmarkEnd w:id="2237"/>
    <w:bookmarkStart w:name="637603693" w:id="2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не резервировать отключения КЗ за трансформаторами, на реактированных линиях, линиях 110 кВ и выше при наличии ближнего резервирования;</w:t>
      </w:r>
    </w:p>
    <w:bookmarkEnd w:id="2238"/>
    <w:bookmarkStart w:name="637603694" w:id="2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p>
    <w:bookmarkEnd w:id="2239"/>
    <w:bookmarkStart w:name="637603695" w:id="2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предусматривать неселективное действие защиты при КЗ на смежных элементах (при дальнем резервном действии – не согласовывать последнюю ступень защиты по параметру срабатывания с защитами предыдущих элементов) с возможностью обесточения в отдельных случаях подстанций, при этом, обеспечивается исправление этих неселективных отключений действием АПВ или АВР;</w:t>
      </w:r>
    </w:p>
    <w:bookmarkEnd w:id="2240"/>
    <w:bookmarkStart w:name="637603696" w:id="22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предусматривать на трансформаторах 110–220 кВ дополнительную максимальную токовую защиту с независимым действием.</w:t>
      </w:r>
    </w:p>
    <w:bookmarkEnd w:id="2241"/>
    <w:bookmarkStart w:name="637603697" w:id="22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615. Устройства резервирования при отказе выключателей (УРО3) должны предусматриваться в электроустановках 110–500 кВ.</w:t>
      </w:r>
    </w:p>
    <w:bookmarkEnd w:id="2242"/>
    <w:bookmarkStart w:name="637603698" w:id="22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p>
    <w:bookmarkEnd w:id="2243"/>
    <w:bookmarkStart w:name="637603699" w:id="2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p>
    <w:bookmarkEnd w:id="2244"/>
    <w:bookmarkStart w:name="637603700" w:id="2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упрощенных УРОВ, действующих при КЗ с отказами выключателей не на всех элементах; при напряжении 35–220 кВ, кроме того, допускается применение устройств, действующих лишь на отключение шиносоединительного (секционного) выключателя.</w:t>
      </w:r>
    </w:p>
    <w:bookmarkEnd w:id="2245"/>
    <w:bookmarkStart w:name="637603701" w:id="2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недостаточной эффективности дальнего резервирования рассматривается необходимость повышения надежности ближнего резервирования в дополнение к УРОВ.</w:t>
      </w:r>
    </w:p>
    <w:bookmarkEnd w:id="2246"/>
    <w:bookmarkStart w:name="637603702" w:id="2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616. При выполнении резервной защиты в виде отдельного комплекта осуществляется, так, чтобы была обеспечена возможность раздельной проверки или ремонта основной или резервной защиты при работающем элементе.</w:t>
      </w:r>
    </w:p>
    <w:bookmarkEnd w:id="2247"/>
    <w:bookmarkStart w:name="637603703" w:id="2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если защита присоединения состоит из двух или более взаиморезервируемых систем защиты, каждая из систем защиты должна быть полностью независимой от другой, чтобы при КЗ в защищаемой зоне отказ в одной системе защиты не приводил к отказу или недопустимому увеличению времени отключения другой системой защит. Указанные устройства РЗА должны питаться от разных автоматических выключателей, должны быть разделены по дискретным входам и выходам, должны быть подключены к разным вторичным обмоткам трансформаторов тока, и по возможности разделены по цепям напряжения и источникам питания, по цепям управления на постоянном оперативном токе. При этом, цепи питания оперативным постоянным током основных и резервных защит или отдельных групп защит должны прокладываться в разных кабелях. В особо ответственных случаях (для линий и автотрансформаторов 500 кВ) прокладываются кабели с цепями отключения от двух групп защит по разным трассам.</w:t>
      </w:r>
    </w:p>
    <w:bookmarkEnd w:id="2248"/>
    <w:bookmarkStart w:name="637603704" w:id="22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617. Оценка чувствительности основных типов релейных защит должна производится при помощи коэффициента чувствительности, определяемого:</w:t>
      </w:r>
    </w:p>
    <w:bookmarkEnd w:id="2249"/>
    <w:bookmarkStart w:name="637603705" w:id="2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защит, реагирующих на величины, возрастающие в условиях повреждений, – как отношение расчетных значений этих величин (тока или напряжения) при металическом КЗ в пределах защищаемой зоны к параметрам срабатывания защит;</w:t>
      </w:r>
    </w:p>
    <w:bookmarkEnd w:id="2250"/>
    <w:bookmarkStart w:name="637603706" w:id="2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защит, реагирующих на величины, уменьшающиеся в условиях повреждений, – как отношение параметров срабатывания к расчетным значениям этих величин (напряжения или сопротивления) при металическом КЗ в пределах защищаемой зоны.</w:t>
      </w:r>
    </w:p>
    <w:bookmarkEnd w:id="2251"/>
    <w:bookmarkStart w:name="637603707" w:id="22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Использовается фиксация срабатывания предыдущей по времени ступени защиты от более чувствительной последующей ступени защиты для исключения замедления действия защиты в результате развития электрической дуги в месте повреждения.</w:t>
      </w:r>
    </w:p>
    <w:bookmarkEnd w:id="2252"/>
    <w:bookmarkStart w:name="637603708" w:id="22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p>
    <w:bookmarkEnd w:id="2253"/>
    <w:bookmarkStart w:name="637603709" w:id="22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618.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p>
    <w:bookmarkEnd w:id="2254"/>
    <w:bookmarkStart w:name="637603710" w:id="22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p>
    <w:bookmarkEnd w:id="2255"/>
    <w:bookmarkStart w:name="637603711" w:id="2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органов тока и напряжения – около 1,5;</w:t>
      </w:r>
    </w:p>
    <w:bookmarkEnd w:id="2256"/>
    <w:bookmarkStart w:name="637603712" w:id="2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органов направления мощности обратной и нулевой последовательности – около 2,0 по мощности и около 1,5 по току и напряжению;</w:t>
      </w:r>
    </w:p>
    <w:bookmarkEnd w:id="2257"/>
    <w:bookmarkStart w:name="637603713" w:id="22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органа направления мощности, включенного на полные ток и напряжение, не нормируется по мощности и около 1,5 по току.</w:t>
      </w:r>
    </w:p>
    <w:bookmarkEnd w:id="2258"/>
    <w:bookmarkStart w:name="637603714" w:id="22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максимальных токовых защит трансформаторов с низшим напряжением 0,23–0,4 кВ наименьший коэффициент чувствительности может быть около 1,5;</w:t>
      </w:r>
    </w:p>
    <w:bookmarkEnd w:id="2259"/>
    <w:bookmarkStart w:name="637603715" w:id="2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p>
    <w:bookmarkEnd w:id="2260"/>
    <w:bookmarkStart w:name="637603716" w:id="2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p>
    <w:bookmarkEnd w:id="2261"/>
    <w:bookmarkStart w:name="637603717" w:id="2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органов направления мощности нулевой и обратной последовательности – около 2,0 по мощности и около 1,5 по току и напряжению;</w:t>
      </w:r>
    </w:p>
    <w:bookmarkEnd w:id="2262"/>
    <w:bookmarkStart w:name="637603718" w:id="2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органа направления мощности, включенного на полные ток и напряжение, не нормируется по мощности и около 1,5 по току;</w:t>
      </w:r>
    </w:p>
    <w:bookmarkEnd w:id="2263"/>
    <w:bookmarkStart w:name="637603719" w:id="2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дистанционные защиты от многофазных КЗ, КЗ на землю и избирательные органы устройства ОАПВ:</w:t>
      </w:r>
    </w:p>
    <w:bookmarkEnd w:id="2264"/>
    <w:bookmarkStart w:name="637603720" w:id="2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пускового органа дистанционной защиты от многофазных КЗ и дистанционного органа третьей ступени – около 1,5;</w:t>
      </w:r>
    </w:p>
    <w:bookmarkEnd w:id="2265"/>
    <w:bookmarkStart w:name="637603721" w:id="2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дистанционного органа второй ступени защиты от многофазных КЗ, предназначенного для действия при КЗ в конце защищаемой линии, без учета резервного действия – около 1,5, а при наличии третьей ступени защиты около 1,25;</w:t>
      </w:r>
    </w:p>
    <w:bookmarkEnd w:id="2266"/>
    <w:bookmarkStart w:name="637603722" w:id="2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указанного органа чувствительность по току должна, быть около 1,3 (по отношению к току точной работы) при повреждении в той же точке.</w:t>
      </w:r>
    </w:p>
    <w:bookmarkEnd w:id="2267"/>
    <w:bookmarkStart w:name="637603723" w:id="2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дистанционных органов второй ступени от КЗ на землю и избирательных органов сопротивления устройства ОАПВ:</w:t>
      </w:r>
    </w:p>
    <w:bookmarkEnd w:id="2268"/>
    <w:bookmarkStart w:name="637603724" w:id="22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металлическом коротком замыкании на землю в конце защищаемой линии – 1,5;</w:t>
      </w:r>
    </w:p>
    <w:bookmarkEnd w:id="2269"/>
    <w:bookmarkStart w:name="637603725" w:id="2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коротком замыкании на землю через переходное сопротивление в конце каскадно отключенной фазы защищаемой линии – 1,15;</w:t>
      </w:r>
    </w:p>
    <w:bookmarkEnd w:id="2270"/>
    <w:bookmarkStart w:name="637603726" w:id="2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фильтровых избирательных органов по току и напряжению нулевой и обратной последовательности при металлическом замыкании в конце защищаемой линии – 2,0.</w:t>
      </w:r>
    </w:p>
    <w:bookmarkEnd w:id="2271"/>
    <w:bookmarkStart w:name="637603727" w:id="22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Блокировка от качаний не должна ограничивать зоны действия блокируемых ступеней дистанционной защиты;</w:t>
      </w:r>
    </w:p>
    <w:bookmarkEnd w:id="2272"/>
    <w:bookmarkStart w:name="637603728" w:id="2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или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p>
    <w:bookmarkEnd w:id="2273"/>
    <w:bookmarkStart w:name="637603729" w:id="2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дифференциальной защиты генераторов и трансформаторов чувствительность проверяется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принимается менее номинального тока генератора. Для автотрансформаторов и повышающих трансформаторов мощностью 63 MBЧА и более ток срабатывания без учета торможения принимается менее номинального (для автотрансформаторов – менее тока, соответствующего типовой мощности).</w:t>
      </w:r>
    </w:p>
    <w:bookmarkEnd w:id="2274"/>
    <w:bookmarkStart w:name="637603730" w:id="2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остальных трансформаторов мощностью 25 MBЧА и более ток срабатывания без учета торможения принимается не более 1,5 номинального тока трансформатора.</w:t>
      </w:r>
    </w:p>
    <w:bookmarkEnd w:id="2275"/>
    <w:bookmarkStart w:name="637603731" w:id="2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снижение коэффициента чувствительности для дифференциальной защиты трансформатора или блока генератор–трансформатор до значения около 1,5 в следующих случаях:</w:t>
      </w:r>
    </w:p>
    <w:bookmarkEnd w:id="2276"/>
    <w:bookmarkStart w:name="637603732" w:id="2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КЗ на выводах низшего напряжения понижающих трансформаторов мощностью менее 80 MBА (определяется с учетом регулирования напряжения);</w:t>
      </w:r>
    </w:p>
    <w:bookmarkEnd w:id="2277"/>
    <w:bookmarkStart w:name="637603733" w:id="22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режиме включения трансформатора под напряжение, а также для кратковременных режимов его работы.</w:t>
      </w:r>
    </w:p>
    <w:bookmarkEnd w:id="2278"/>
    <w:bookmarkStart w:name="637603734" w:id="22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p>
    <w:bookmarkEnd w:id="2279"/>
    <w:bookmarkStart w:name="637603735" w:id="2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p>
    <w:bookmarkEnd w:id="2280"/>
    <w:bookmarkStart w:name="637603736" w:id="22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поперечные дифференциальные направленные защиты параллельных линий:</w:t>
      </w:r>
    </w:p>
    <w:bookmarkEnd w:id="2281"/>
    <w:bookmarkStart w:name="637603737" w:id="22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реле тока и реле напряжения пускового органа комплексов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p>
    <w:bookmarkEnd w:id="2282"/>
    <w:bookmarkStart w:name="637603738" w:id="22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p>
    <w:bookmarkEnd w:id="2283"/>
    <w:bookmarkStart w:name="637603739" w:id="22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p>
    <w:bookmarkEnd w:id="2284"/>
    <w:bookmarkStart w:name="637603740" w:id="2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направленные защиты с высокочастотной блокировкой:</w:t>
      </w:r>
    </w:p>
    <w:bookmarkEnd w:id="2285"/>
    <w:bookmarkStart w:name="637603741" w:id="2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органа направления мощности обратной или нулевой последовательности, контролирующего цепь отключения, – около 3,0 по мощности,</w:t>
      </w:r>
    </w:p>
    <w:bookmarkEnd w:id="2286"/>
    <w:bookmarkStart w:name="637603742" w:id="22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около 2,0 по току и напряжению;</w:t>
      </w:r>
    </w:p>
    <w:bookmarkEnd w:id="2287"/>
    <w:bookmarkStart w:name="637603743" w:id="22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пусковых органов, контролирующих цепь отключения, – около 2,0 по току и напряжению, около 1,5 по сопротивлению;</w:t>
      </w:r>
    </w:p>
    <w:bookmarkEnd w:id="2288"/>
    <w:bookmarkStart w:name="637603744" w:id="22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дифференциально-фазные высокочастотные защиты:</w:t>
      </w:r>
    </w:p>
    <w:bookmarkEnd w:id="2289"/>
    <w:bookmarkStart w:name="637603745" w:id="22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пусковых органов, контролирующих цепь отключения, – около 2,0 по току и напряжению, около 1,5 по сопротивлению;</w:t>
      </w:r>
    </w:p>
    <w:bookmarkEnd w:id="2290"/>
    <w:bookmarkStart w:name="637603746" w:id="22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токовые отсечки без выдержки времени, устанавливаемые на генераторах мощностью до 1 МВт и трансформаторах, при КЗ в месте установки защиты – около 2,0;</w:t>
      </w:r>
    </w:p>
    <w:bookmarkEnd w:id="2291"/>
    <w:bookmarkStart w:name="637603747" w:id="2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защиты от замыканий на землю на кабельных линиях в сетях с изолированной нейтралью (действующие на сигнал или на отключение):</w:t>
      </w:r>
    </w:p>
    <w:bookmarkEnd w:id="2292"/>
    <w:bookmarkStart w:name="637603748" w:id="22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 реагирующих на токи основной частоты, – около 1,25;</w:t>
      </w:r>
    </w:p>
    <w:bookmarkEnd w:id="2293"/>
    <w:bookmarkStart w:name="637603749" w:id="22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 реагирующих на токи повышенных частот, – около 1,5;</w:t>
      </w:r>
    </w:p>
    <w:bookmarkEnd w:id="2294"/>
    <w:bookmarkStart w:name="637603750" w:id="2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защиты от замыканий на землю на ВЛ в сетях с изолированной нейтралью, действующие на сигнал или на отключение, – около 1,5.</w:t>
      </w:r>
    </w:p>
    <w:bookmarkEnd w:id="2295"/>
    <w:bookmarkStart w:name="637603751" w:id="22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619. При определении коэффициентов чувствительности, указанных в подпунктах 1), 2), 5) и 7) пункта 618 настоящих Правил, необходимо учитывать следующее:</w:t>
      </w:r>
    </w:p>
    <w:bookmarkEnd w:id="2296"/>
    <w:bookmarkStart w:name="637603752" w:id="22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p>
    <w:bookmarkEnd w:id="2297"/>
    <w:bookmarkStart w:name="637603753" w:id="2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p>
    <w:bookmarkEnd w:id="2298"/>
    <w:bookmarkStart w:name="637603754" w:id="22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620.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w:t>
      </w:r>
    </w:p>
    <w:bookmarkEnd w:id="2299"/>
    <w:bookmarkStart w:name="637603755" w:id="2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p>
    <w:bookmarkEnd w:id="2300"/>
    <w:bookmarkStart w:name="637603756" w:id="2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621. Чувствительность защит на переменном оперативном токе, выполняемых по схеме с дешунтированием электромагнитов отключения, проверяется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 больше принимаемого для соответствующих защит.</w:t>
      </w:r>
    </w:p>
    <w:bookmarkEnd w:id="2301"/>
    <w:bookmarkStart w:name="637603757" w:id="23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622.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для:</w:t>
      </w:r>
    </w:p>
    <w:bookmarkEnd w:id="2302"/>
    <w:bookmarkStart w:name="637603758" w:id="23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органов тока, напряжения, сопротивления – 1,2;</w:t>
      </w:r>
    </w:p>
    <w:bookmarkEnd w:id="2303"/>
    <w:bookmarkStart w:name="637603759" w:id="23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органов направления мощности обратной и нулевой последовательностей – 1,4 по мощности и 1,2 по току и напряжению;</w:t>
      </w:r>
    </w:p>
    <w:bookmarkEnd w:id="2304"/>
    <w:bookmarkStart w:name="637603760" w:id="2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органа направления мощности, включенного на полные ток и напряжение, не нормируется по мощности и напряжению и 1,2 по току.</w:t>
      </w:r>
    </w:p>
    <w:bookmarkEnd w:id="2305"/>
    <w:bookmarkStart w:name="637603761" w:id="2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оценке чувствительности ступеней резервных защит, осуществляющих ближнее резервирование, необходимо исходить из коэффициентов чувствительности, приведенных в пунктах 611 настоящих Правил для соответствующих защит.</w:t>
      </w:r>
    </w:p>
    <w:bookmarkEnd w:id="2306"/>
    <w:bookmarkStart w:name="637603762" w:id="2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623.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p>
    <w:bookmarkEnd w:id="2307"/>
    <w:bookmarkStart w:name="637603763" w:id="2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624.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p>
    <w:bookmarkEnd w:id="2308"/>
    <w:bookmarkStart w:name="637603764" w:id="2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не согласовывать между собой ступени этих защит, предназначенные для дальнего резервирования.</w:t>
      </w:r>
    </w:p>
    <w:bookmarkEnd w:id="2309"/>
    <w:bookmarkStart w:name="637603765" w:id="23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625. В сетях с глухозаземленной нейтралью должен быть выбран исходя из условий релейной защиты такой режим заземления нейтралей силовых трансформаторов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p>
    <w:bookmarkEnd w:id="2310"/>
    <w:bookmarkStart w:name="637603766" w:id="2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нейтрали,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w:t>
      </w:r>
    </w:p>
    <w:bookmarkEnd w:id="2311"/>
    <w:bookmarkStart w:name="637603767" w:id="2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626. Трансформаторы тока, предназначенные для питания токовых цепей устройств релейной защиты от КЗ, должны удовлетворять следующим требованиям:</w:t>
      </w:r>
    </w:p>
    <w:bookmarkEnd w:id="2312"/>
    <w:bookmarkStart w:name="637603768" w:id="2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целях предотвращения излишних срабатываний защиты при КЗ вне защищаемой зоны погрешность (полная или токовая) трансформаторов тока, не должна превышать 10 %. Более высокие погрешности допускаются при использовании защит,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p>
    <w:bookmarkEnd w:id="2313"/>
    <w:bookmarkStart w:name="637603769" w:id="23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ступенчатых защит – при КЗ в конце зоны действия ступени защиты, а для направленных ступенчатых защит – также и при внешнем КЗ;</w:t>
      </w:r>
    </w:p>
    <w:bookmarkEnd w:id="2314"/>
    <w:bookmarkStart w:name="637603770" w:id="23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остальных защит – при внешнем КЗ или несинхронном включении.</w:t>
      </w:r>
    </w:p>
    <w:bookmarkEnd w:id="2315"/>
    <w:bookmarkStart w:name="637603771" w:id="2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дифференциальных токовых защит (шин, трансформаторов, генераторов)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p>
    <w:bookmarkEnd w:id="2316"/>
    <w:bookmarkStart w:name="637603772" w:id="2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расчетах допустимых нагрузок на трансформаторы тока допускается в качестве исходной принимать полную погрешность;</w:t>
      </w:r>
    </w:p>
    <w:bookmarkEnd w:id="2317"/>
    <w:bookmarkStart w:name="637603773" w:id="23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токовая погрешность трансформаторов тока в целях предотвращения отказов защиты при КЗ в начале защищаемой зоны не должна превышать:</w:t>
      </w:r>
    </w:p>
    <w:bookmarkEnd w:id="2318"/>
    <w:bookmarkStart w:name="637603774" w:id="23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условиям повышенной вибрации контактов реле направления мощности или реле тока – значений, допустимых для выбранного типа реле;</w:t>
      </w:r>
    </w:p>
    <w:bookmarkEnd w:id="2319"/>
    <w:bookmarkStart w:name="637603775" w:id="23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условиям предельно допустимой для реле направления мощности и направленных реле сопротивлений угловой погрешности – 50 %;</w:t>
      </w:r>
    </w:p>
    <w:bookmarkEnd w:id="2320"/>
    <w:bookmarkStart w:name="637603776" w:id="2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напряжение на выводах вторичной обмотки трансформаторов тока при КЗ в защищаемой зоне не должно превышать значения, допустимого для устройства РЗА.</w:t>
      </w:r>
    </w:p>
    <w:bookmarkEnd w:id="2321"/>
    <w:bookmarkStart w:name="637603777" w:id="23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627. Токовые цепи электроизмерительных приборов (совместно со счетчиками) и релейной защиты должны быть присоединены, к разным обмоткам трансформаторов тока.</w:t>
      </w:r>
    </w:p>
    <w:bookmarkEnd w:id="2322"/>
    <w:bookmarkStart w:name="637603778" w:id="2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их присоединение к одной обмотке трансформаторов тока при условии выполнения требований пунктов 96, 99 и 626 настоящих Правил. При этом, в цепи защит,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пункта 625 настоящих Правил при разомкнутой вторичной цепи промежуточных трансформаторов тока.</w:t>
      </w:r>
    </w:p>
    <w:bookmarkEnd w:id="2323"/>
    <w:bookmarkStart w:name="637603779" w:id="2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628. Применяется защита с применением реле прямого действия, как первичных, так и вторичных, и защиты на переменном оперативном токе, если это возможно, и ведет к упрощению и удешевлению электроустановки.</w:t>
      </w:r>
    </w:p>
    <w:bookmarkEnd w:id="2324"/>
    <w:bookmarkStart w:name="637603780" w:id="2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629. В качестве источника переменного оперативного тока для защит от КЗ, используются трансформаторы тока защищаемого элемента. Допускается также использование трансформаторов напряжения или трансформаторов собственных нужд.</w:t>
      </w:r>
    </w:p>
    <w:bookmarkEnd w:id="2325"/>
    <w:bookmarkStart w:name="637603781" w:id="2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p>
    <w:bookmarkEnd w:id="2326"/>
    <w:bookmarkStart w:name="637603782" w:id="2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630.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p>
    <w:bookmarkEnd w:id="2327"/>
    <w:bookmarkStart w:name="637603783" w:id="2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эксплуатационных проверок и испытаний в схемах защит предусматривается, где это необходимо, испытательные блоки или испытательные зажимы.</w:t>
      </w:r>
    </w:p>
    <w:bookmarkEnd w:id="2328"/>
    <w:bookmarkStart w:name="637603784" w:id="2329"/>
    <w:p>
      <w:pPr>
        <w:spacing w:before="120" w:after="120" w:line="240"/>
        <w:ind w:left="0"/>
        <w:jc w:val="center"/>
      </w:pPr>
      <w:r>
        <w:rPr>
          <w:rFonts w:hint="default" w:ascii="Times New Roman" w:hAnsi="Times New Roman"/>
          <w:b/>
          <w:i w:val="false"/>
          <w:color w:val="000000"/>
          <w:sz w:val="24"/>
        </w:rPr>
        <w:t>Параграф 3. Защита генераторов, работающих непосредственнона сборные шины генераторного напряжения</w:t>
      </w:r>
    </w:p>
    <w:bookmarkEnd w:id="2329"/>
    <w:bookmarkStart w:name="637603785" w:id="23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631.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p>
    <w:bookmarkEnd w:id="2330"/>
    <w:bookmarkStart w:name="637603786" w:id="23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многофазных замыканий в обмотке статора генератора и на его выводах;</w:t>
      </w:r>
    </w:p>
    <w:bookmarkEnd w:id="2331"/>
    <w:bookmarkStart w:name="637603787" w:id="23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однофазных замыканий на землю в обмотке статора;</w:t>
      </w:r>
    </w:p>
    <w:bookmarkEnd w:id="2332"/>
    <w:bookmarkStart w:name="637603788" w:id="23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двойных замыканий на землю, одно из которых возникло в обмотке статора, а второе – во внешней сети;</w:t>
      </w:r>
    </w:p>
    <w:bookmarkEnd w:id="2333"/>
    <w:bookmarkStart w:name="637603789" w:id="23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замыканий между витками одной фазы в обмотке статора (при наличии выведенных параллельных ветвей обмотки);</w:t>
      </w:r>
    </w:p>
    <w:bookmarkEnd w:id="2334"/>
    <w:bookmarkStart w:name="637603790" w:id="2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внешних коротких замыканий;</w:t>
      </w:r>
    </w:p>
    <w:bookmarkEnd w:id="2335"/>
    <w:bookmarkStart w:name="637603791" w:id="2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перегрузки токами обратной последовательности (для генераторов мощностью более 30 МВт) для всех генераторов с непосредственным охлаждением обмоток;</w:t>
      </w:r>
    </w:p>
    <w:bookmarkEnd w:id="2336"/>
    <w:bookmarkStart w:name="637603792" w:id="2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симметричной перегрузки обмотки статора;</w:t>
      </w:r>
    </w:p>
    <w:bookmarkEnd w:id="2337"/>
    <w:bookmarkStart w:name="637603793" w:id="2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перегрузки обмотки ротора током возбуждения (для генераторов с непосредственным охлаждением проводников обмоток и для гидрогенераторов);</w:t>
      </w:r>
    </w:p>
    <w:bookmarkEnd w:id="2338"/>
    <w:bookmarkStart w:name="637603794" w:id="2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асинхронного режима;</w:t>
      </w:r>
    </w:p>
    <w:bookmarkEnd w:id="2339"/>
    <w:bookmarkStart w:name="637603795" w:id="2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от замыкания на землю в одной точке цепи возбуждения;</w:t>
      </w:r>
    </w:p>
    <w:bookmarkEnd w:id="2340"/>
    <w:bookmarkStart w:name="637603796" w:id="2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замыкания на землю во второй точке цепи возбуждения (кроме турбогенераторов с бесщеточной системой возбуждения, генераторов с непосредственным охлаждением и гидрогенераторов);</w:t>
      </w:r>
    </w:p>
    <w:bookmarkEnd w:id="2341"/>
    <w:bookmarkStart w:name="637603797" w:id="2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обратной мощности;</w:t>
      </w:r>
    </w:p>
    <w:bookmarkEnd w:id="2342"/>
    <w:bookmarkStart w:name="637603798" w:id="2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от потери возбуждения;</w:t>
      </w:r>
    </w:p>
    <w:bookmarkEnd w:id="2343"/>
    <w:bookmarkStart w:name="637603799" w:id="2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от повышения напряжения (для турбогенераторов с непосредственным охлаждением обмоток и гидрогенераторов);</w:t>
      </w:r>
    </w:p>
    <w:bookmarkEnd w:id="2344"/>
    <w:bookmarkStart w:name="637603800" w:id="2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минимальная защита напряжения при использовании гидроагрегата в режиме синхронного компенсатора или двигателя агрегатов.</w:t>
      </w:r>
    </w:p>
    <w:bookmarkEnd w:id="2345"/>
    <w:bookmarkStart w:name="637603801" w:id="2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632. Для турбогенераторов выше 1 кВ мощностью 1 МВт и менее, работающих непосредственно на сборные шины генераторного напряжения, предусматриваются устройства релейной защиты в соответствии с подпунктами 1), 2), 3), 5), 7) пункта 631 настоящих Правил.</w:t>
      </w:r>
    </w:p>
    <w:bookmarkEnd w:id="2346"/>
    <w:bookmarkStart w:name="637603802" w:id="2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турбогенераторов до 1 кВ мощностью до 1 МВт, работающих непосредственно на сборные шины генераторного напряжения, защита выполняется в соответствии с пунктом 645 настоящих Правил.</w:t>
      </w:r>
    </w:p>
    <w:bookmarkEnd w:id="2347"/>
    <w:bookmarkStart w:name="637603803" w:id="2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633. Для защиты от многофазных замыканий в обмотке статора 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Защита должна действовать на отключение всех выключателей генератора, на гашение поля, а также на останов турбины.</w:t>
      </w:r>
    </w:p>
    <w:bookmarkEnd w:id="2348"/>
    <w:bookmarkStart w:name="637603804" w:id="23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зону действия защиты кроме генератора должны входить соединения генератора со сборными шинами электростанции (до выключателя).</w:t>
      </w:r>
    </w:p>
    <w:bookmarkEnd w:id="2349"/>
    <w:bookmarkStart w:name="637603805" w:id="2350"/>
    <w:p>
      <w:pPr>
        <w:spacing w:before="120" w:after="120" w:line="240"/>
        <w:ind w:left="0"/>
        <w:jc w:val="both"/>
      </w:pPr>
      <w:r>
        <w:rPr>
          <w:rFonts w:hint="default" w:ascii="Times New Roman" w:hAnsi="Times New Roman"/>
          <w:b w:val="false"/>
          <w:i w:val="false"/>
          <w:color w:val="000000"/>
          <w:sz w:val="24"/>
        </w:rPr>
        <w:t>Продольная дифференциальная токовая защита должна быть выполнена с током срабатывания не более 0,6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Для генераторов мощностью до 30 МВт с косвенным охлаждением – допускается выполнять защиту с током срабатывания 1,3–1,4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2350"/>
    <w:bookmarkStart w:name="637603806" w:id="2351"/>
    <w:p>
      <w:pPr>
        <w:spacing w:before="120" w:after="120" w:line="240"/>
        <w:ind w:left="0"/>
        <w:jc w:val="both"/>
      </w:pPr>
      <w:r>
        <w:rPr>
          <w:rFonts w:hint="default" w:ascii="Times New Roman" w:hAnsi="Times New Roman"/>
          <w:b w:val="false"/>
          <w:i w:val="false"/>
          <w:color w:val="000000"/>
          <w:sz w:val="24"/>
        </w:rPr>
        <w:t>Контроль неисправности токовых цепей защиты предусматривается при токе срабатывания защиты более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2351"/>
    <w:bookmarkStart w:name="637603807" w:id="2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Продольная дифференциальная токовая защита должна быть осуществлена с отстройкой от переходных значений токов небаланса.</w:t>
      </w:r>
    </w:p>
    <w:bookmarkEnd w:id="2352"/>
    <w:bookmarkStart w:name="637603808" w:id="23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выполняется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p>
    <w:bookmarkEnd w:id="2353"/>
    <w:bookmarkStart w:name="637603809" w:id="2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634.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p>
    <w:bookmarkEnd w:id="2354"/>
    <w:bookmarkStart w:name="637603810" w:id="2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p>
    <w:bookmarkEnd w:id="2355"/>
    <w:bookmarkStart w:name="637603811" w:id="2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одиночно работающих генераторов выше 1 кВ мощностью до 1 МВт в качестве защиты от многофазных замыканий в обмотке статора используется защита от внешних КЗ. Защита должна действовать на отключение выключателя генератора и гашение его поля.</w:t>
      </w:r>
    </w:p>
    <w:bookmarkEnd w:id="2356"/>
    <w:bookmarkStart w:name="637603812" w:id="2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635. Для защиты от однофазных замыканий на землю в обмотке статора генераторов выше 1 кВ мощностью 50 МВт и более должна быть предусмотрена селективная защита от замыканий на землю независимо от величины емкостного тока замыканий на землю и защита от двойных замыканий на землю. Защиты должны быть отстроены от переходных процессов и действовать: от замыкания на землю с выдержкой времени не более 0,5 сек – на отключение генератора, гашение его поля, останов агрегата и запрет электроторможения (для гидрогенератора) от двойных замыканий на землю без выдержки времени – аналогично защите от однофазных замыканий.</w:t>
      </w:r>
    </w:p>
    <w:bookmarkEnd w:id="2357"/>
    <w:bookmarkStart w:name="637603813" w:id="2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генераторов мощностью менее 50 МВт в качестве защиты от замыкания на землю можно использовать устройство контроля изоляции, действующее с двумя выдержками времени: с первой – на деление шин генераторного напряжения, со второй – на отключение генератора, гашение поля, останов агрегата и запрет электроторможения (для гидрогенераторов). При токе замыкания менее 5 А допускается действие защиты на сигнал.</w:t>
      </w:r>
    </w:p>
    <w:bookmarkEnd w:id="2358"/>
    <w:bookmarkStart w:name="637603814" w:id="2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p>
    <w:bookmarkEnd w:id="2359"/>
    <w:bookmarkStart w:name="637603815" w:id="2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повышения надежности действия при больших значениях тока применяется реле с насыщающимся трансформатором тока. Эта защита должна быть выполнена без выдержки времени и действовать как защита, указанная в пункте 632 или 633 настоящих Правил.</w:t>
      </w:r>
    </w:p>
    <w:bookmarkEnd w:id="2360"/>
    <w:bookmarkStart w:name="637603816" w:id="2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636. Для защиты от замыканий между витками одной фазы в обмотке статора генератора с выведенными параллельными ветвями должна предусматриваться поперечная дифференциальная токовая защита без выдержки времени, действующая как защита, указанная в пункте 632 настоящих Правил.</w:t>
      </w:r>
    </w:p>
    <w:bookmarkEnd w:id="2361"/>
    <w:bookmarkStart w:name="637603817" w:id="2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637. Для защиты генераторов по подпункту 6 пункта 631 настоящих Правил, от токов, обусловленных внешними несимметричными КЗ, а также от перегрузки током обратной последовательности предусматривается токовая защита обратной последовательности, действующую на отключение с двумя выдержками времени.</w:t>
      </w:r>
    </w:p>
    <w:bookmarkEnd w:id="2362"/>
    <w:bookmarkStart w:name="637603818" w:id="2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генераторов с непосредственным охлаждением проводников обмоток защита выполняется с интегральной зависимой характеристикой, соответствующей заводской характеристике допустимых перегрузок защищаемого генератора. При этом, зависимая характеристика при вторых (более высоких) выдержках времени не должна быть выше характеристики допустимых перегрузок генератора током обратной последовательности.</w:t>
      </w:r>
    </w:p>
    <w:bookmarkEnd w:id="2363"/>
    <w:bookmarkStart w:name="637603819" w:id="2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генераторов с косвенным охлаждением проводников обмоток защита выполняется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минуты меньшая выдержка времени защиты не должна превышать допустимой длительности двухфазного КЗ на выводах генератора.</w:t>
      </w:r>
    </w:p>
    <w:bookmarkEnd w:id="2364"/>
    <w:bookmarkStart w:name="637603820" w:id="2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p>
    <w:bookmarkEnd w:id="2365"/>
    <w:bookmarkStart w:name="637603821" w:id="23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гидростанциях без постоянного дежурного персонала чувствительный орган токовой защиты обратной последовательности должен действовать на отключение с выдержкой времени не более 2 минуты.</w:t>
      </w:r>
    </w:p>
    <w:bookmarkEnd w:id="2366"/>
    <w:bookmarkStart w:name="637603822" w:id="23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638. Для защиты генераторов с непосредственным охлаждением обмотки статора должна быть предусмотрена однорелейная дистанционная защита для защиты от внешних симметричных коротких замыканий и для резервирования защит генератора от внутренних повреждений. Для генераторов с косвенным охлаждением обмоток для этих целей может быть предусмотрена максимальная токовая защита с пуском минимального напряжения. Указанные защиты должны действовать с двумя выдержками времени.</w:t>
      </w:r>
    </w:p>
    <w:bookmarkEnd w:id="2367"/>
    <w:bookmarkStart w:name="637603823" w:id="2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генераторов с непосредственным охлаждением обмотки статора от внешних симметричных КЗ и для резервирования защит генератора от внутренних повреждений в генераторе должна быть предусмотрена дистанционная защита, либо максимальная токовая защита с пуском минимального напряжения.</w:t>
      </w:r>
    </w:p>
    <w:bookmarkEnd w:id="2368"/>
    <w:bookmarkStart w:name="637603824" w:id="2369"/>
    <w:p>
      <w:pPr>
        <w:spacing w:before="120" w:after="120" w:line="240"/>
        <w:ind w:left="0"/>
        <w:jc w:val="both"/>
      </w:pPr>
      <w:r>
        <w:rPr>
          <w:rFonts w:hint="default" w:ascii="Times New Roman" w:hAnsi="Times New Roman"/>
          <w:b w:val="false"/>
          <w:i w:val="false"/>
          <w:color w:val="000000"/>
          <w:sz w:val="24"/>
        </w:rPr>
        <w:t>Ток срабатывания максимальной токовой защиты должен быть около 1,3–1,5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а напряжение срабатывания – для турбогенераторов около 0,5–0,6U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для гидрогенераторов – около 0,6–0,7U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2369"/>
    <w:bookmarkStart w:name="637603825" w:id="2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639. Для защиты генераторов с косвенным охлаждением обмоток, мощностью от 1 МВт до 30 МВт от внешних КЗ (симметричных и несимметричных) и для резервирования защит генератора от внутренних повреждений применяется максимальная токовая защита в двухфазном двухрелейном исполнении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p>
    <w:bookmarkEnd w:id="2370"/>
    <w:bookmarkStart w:name="637603826" w:id="2371"/>
    <w:p>
      <w:pPr>
        <w:spacing w:before="120" w:after="120" w:line="240"/>
        <w:ind w:left="0"/>
        <w:jc w:val="both"/>
      </w:pPr>
      <w:r>
        <w:rPr>
          <w:rFonts w:hint="default" w:ascii="Times New Roman" w:hAnsi="Times New Roman"/>
          <w:b w:val="false"/>
          <w:i w:val="false"/>
          <w:color w:val="000000"/>
          <w:sz w:val="24"/>
        </w:rPr>
        <w:t>Ток срабатывания защиты и напряжение срабатывания минимального органа напряжения принимаются равными указанным в пункте 637 настоящих Правил, напряжение срабатывания устройства фильтр-реле напряжения обратной последовательности 0,1–0,12U</w:t>
      </w:r>
      <w:r>
        <w:rPr>
          <w:rFonts w:hint="default" w:ascii="Times New Roman" w:hAnsi="Times New Roman"/>
          <w:b w:val="false"/>
          <w:i w:val="false"/>
          <w:color w:val="000000"/>
          <w:vertAlign w:val="subscript"/>
        </w:rPr>
        <w:t>нoм.</w:t>
      </w:r>
    </w:p>
    <w:bookmarkEnd w:id="2371"/>
    <w:bookmarkStart w:name="637603827" w:id="23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640.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Уставка защиты выбирается по току нагрузки с необходимым запасом. Допускается также применение упрощенной минимальной защиты напряжения (без реле тока).</w:t>
      </w:r>
    </w:p>
    <w:bookmarkEnd w:id="2372"/>
    <w:bookmarkStart w:name="637603828" w:id="2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641. Защита генераторов мощностью более 1 МВт от токов, обусловленных внешними КЗ, должна быть выполнена с соблюдением следующих требований:</w:t>
      </w:r>
    </w:p>
    <w:bookmarkEnd w:id="2373"/>
    <w:bookmarkStart w:name="637603829" w:id="23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защита присоединяется к трансформаторам тока, установленным на выводах генератора со стороны нейтрали;</w:t>
      </w:r>
    </w:p>
    <w:bookmarkEnd w:id="2374"/>
    <w:bookmarkStart w:name="637603830" w:id="2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наличии секционирования шин генераторного напряжения защиту выполняется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p>
    <w:bookmarkEnd w:id="2375"/>
    <w:bookmarkStart w:name="637603831" w:id="2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на генераторах присоединять токовую защиту обратной последовательности и дистанционную защиту к трансформаторам тока, установленным со стороны подключения генератора к сборным шинам. В этом случае должна предусматриваться дополнительная резервная защита, включаемая на трансформаторы со стороны нейтрали генератора и предназначенная для резервирования дифференциальной защиты при повреждениях генератора, отключенного от сети.</w:t>
      </w:r>
    </w:p>
    <w:bookmarkEnd w:id="2376"/>
    <w:bookmarkStart w:name="637603832" w:id="2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642.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Защита выполняется с интегрально-зависимой выдержкой времени от тока в обмотке ротора, которая соответствует характеристике допустимых перегрузок генератора током возбуждения.</w:t>
      </w:r>
    </w:p>
    <w:bookmarkEnd w:id="2377"/>
    <w:bookmarkStart w:name="637603833" w:id="2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защита должна быть выполнена с независимой выдержкой времени, реагирующей на повышение напряжения в обмотке ротора.</w:t>
      </w:r>
    </w:p>
    <w:bookmarkEnd w:id="2378"/>
    <w:bookmarkStart w:name="637603834" w:id="23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действовать на отключение генератора и гашение поля. С меньшей выдержкой времени от защиты должна производиться разгрузка ротора.</w:t>
      </w:r>
    </w:p>
    <w:bookmarkEnd w:id="2379"/>
    <w:bookmarkStart w:name="637603835" w:id="23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643. Защита от симметричных перегрузок генераторов с непосредственным охлаждением должна быть выполнена с интегральной зависимой выдержкой времени от тока одной фазы. Защита должна действовать на разгрузку и, при необходимости, на отключение генератора.</w:t>
      </w:r>
    </w:p>
    <w:bookmarkEnd w:id="2380"/>
    <w:bookmarkStart w:name="637603836" w:id="2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быть дополнена чувствительным органом, действующим на сигнал с независимой выдержкой времени.</w:t>
      </w:r>
    </w:p>
    <w:bookmarkEnd w:id="2381"/>
    <w:bookmarkStart w:name="637603837" w:id="2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симметричных перегрузок генератора с косвенным охлаждением может быть выполнена в виде максимальной токовой защиты от тока одной фазы, действующей на сигнал с независимой выдержкой времени.</w:t>
      </w:r>
    </w:p>
    <w:bookmarkEnd w:id="2382"/>
    <w:bookmarkStart w:name="637603838" w:id="23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644. Защита от замыканий на землю в одной точке цепи возбуждения для турбогенераторов с косвенным охлаждением обмотки ротора должна действовать на сигнал с выдержкой времени, а для гидрогенераторов – на отключение генератора.</w:t>
      </w:r>
    </w:p>
    <w:bookmarkEnd w:id="2383"/>
    <w:bookmarkStart w:name="637603839" w:id="2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замыканий на землю в одной точке цепи возбуждения генераторов с непосредственным охлаждением обмотки ротора должна иметь две ступени по снижению уровня изоляции. Первая ступень должна действовать на предупредительный сигнал с выдержкой времени, вторая ступень – на аварийный сигнал или на отключение генератора в соответствии с указаниями завода-изготовителя генератора.</w:t>
      </w:r>
    </w:p>
    <w:bookmarkEnd w:id="2384"/>
    <w:bookmarkStart w:name="637603840" w:id="2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Защита должна действовать на отключение выключателя генератора и гашение поля.</w:t>
      </w:r>
    </w:p>
    <w:bookmarkEnd w:id="2385"/>
    <w:bookmarkStart w:name="637603841" w:id="23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645. На турбогенераторах устанавливается защита от асинхронного режима (далее - АР). На генераторах, допускающих АР, защита должна действовать на сигнал и разгрузку по активной мощности.</w:t>
      </w:r>
    </w:p>
    <w:bookmarkEnd w:id="2386"/>
    <w:bookmarkStart w:name="637603842" w:id="23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гидрогенераторах должна предусматриваться защита от АР, действующая согласно 750.</w:t>
      </w:r>
    </w:p>
    <w:bookmarkEnd w:id="2387"/>
    <w:bookmarkStart w:name="637603843" w:id="2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Генераторы, не допускающие АР, а в условиях дефицита реактивной мощности в системе и остальные генераторы, потерявшие возбуждение, должны при действии защиты отключаться от сети. Может быть предусмотрена защита от потери возбуждения, которая предназначена для предотвращения АР.</w:t>
      </w:r>
    </w:p>
    <w:bookmarkEnd w:id="2388"/>
    <w:bookmarkStart w:name="637603844" w:id="2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может быть выполнена:</w:t>
      </w:r>
    </w:p>
    <w:bookmarkEnd w:id="2389"/>
    <w:bookmarkStart w:name="637603845" w:id="2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фактору отключения автомата гашения поля;</w:t>
      </w:r>
    </w:p>
    <w:bookmarkEnd w:id="2390"/>
    <w:bookmarkStart w:name="637603846" w:id="2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величинам тока ротора и статора. Уставка по току ротора должна быть отстроена от уставки ограничителя минимального возбуждения регулятора возбуждения;</w:t>
      </w:r>
    </w:p>
    <w:bookmarkEnd w:id="2391"/>
    <w:bookmarkStart w:name="637603847" w:id="2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 принципу защиты минимального сопротивления.</w:t>
      </w:r>
    </w:p>
    <w:bookmarkEnd w:id="2392"/>
    <w:bookmarkStart w:name="637603848" w:id="23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646. Защита генераторов до 1 кВ мощностью до 1 МВт с незаземленной нейтралью от всех видов повреждений и ненормальных режимов работы осуществляется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указанная защита, присоединяется к трансформаторам тока, установленным на этих выводах.</w:t>
      </w:r>
    </w:p>
    <w:bookmarkEnd w:id="2393"/>
    <w:bookmarkStart w:name="637603849" w:id="2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указанных генераторов с глухозаземленной нейтралью эта защита должна быть предусмотрена в трехфазном исполнении.</w:t>
      </w:r>
    </w:p>
    <w:bookmarkEnd w:id="2394"/>
    <w:bookmarkStart w:name="637603850" w:id="2395"/>
    <w:p>
      <w:pPr>
        <w:spacing w:before="120" w:after="120" w:line="240"/>
        <w:ind w:left="0"/>
        <w:jc w:val="both"/>
      </w:pPr>
      <w:r>
        <w:rPr>
          <w:rFonts w:hint="default" w:ascii="Times New Roman" w:hAnsi="Times New Roman"/>
          <w:b w:val="false"/>
          <w:i w:val="false"/>
          <w:color w:val="000000"/>
          <w:sz w:val="24"/>
        </w:rPr>
        <w:t>647. На гидрогенераторах для предотвращения повышения напряжения при сбросах нагрузки должна быть предусмотрена защита от повышения напряжения. Уставка защиты выбирается 1,5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Защита должна действовать на отключение генератора, гашение его поля, а также допускается воздействие на останов агрегата.</w:t>
      </w:r>
    </w:p>
    <w:bookmarkEnd w:id="2395"/>
    <w:bookmarkStart w:name="637603851" w:id="2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ликвидации перехода генератора в двигательный режим при самопроизвольном закрытии направляющего аппарата или неплотном закрытии стопорных клапанов турбины устанавливается защита обратной мощности.</w:t>
      </w:r>
    </w:p>
    <w:bookmarkEnd w:id="2396"/>
    <w:bookmarkStart w:name="637603852" w:id="2397"/>
    <w:p>
      <w:pPr>
        <w:spacing w:before="120" w:after="120" w:line="240"/>
        <w:ind w:left="0"/>
        <w:jc w:val="center"/>
      </w:pPr>
      <w:r>
        <w:rPr>
          <w:rFonts w:hint="default" w:ascii="Times New Roman" w:hAnsi="Times New Roman"/>
          <w:b/>
          <w:i w:val="false"/>
          <w:color w:val="000000"/>
          <w:sz w:val="24"/>
        </w:rPr>
        <w:t>Параграф 4. Защита трансформаторов (автотрансформаторов) с обмоткой высшего напряжения 3 кВ и выше и шунтирующих реакторов 500 кВ</w:t>
      </w:r>
    </w:p>
    <w:bookmarkEnd w:id="2397"/>
    <w:bookmarkStart w:name="637603853" w:id="23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648. Для трансформаторов должны быть предусмотрены устройства релейной защиты от следующих видов повреждений и ненормальных режимов работы:</w:t>
      </w:r>
    </w:p>
    <w:bookmarkEnd w:id="2398"/>
    <w:bookmarkStart w:name="637603854" w:id="2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многофазных замыканий в обмотках и на выводах (ошиновка);</w:t>
      </w:r>
    </w:p>
    <w:bookmarkEnd w:id="2399"/>
    <w:bookmarkStart w:name="637603855" w:id="2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однофазных замыканий на землю в обмотке и на выводах (ошиновка), присоединенных к сети с глухозаземленной нейтралью;</w:t>
      </w:r>
    </w:p>
    <w:bookmarkEnd w:id="2400"/>
    <w:bookmarkStart w:name="637603856" w:id="2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витковых замыканий в обмотках;</w:t>
      </w:r>
    </w:p>
    <w:bookmarkEnd w:id="2401"/>
    <w:bookmarkStart w:name="637603857" w:id="24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токов в обмотках, обусловленных внешними КЗ;</w:t>
      </w:r>
    </w:p>
    <w:bookmarkEnd w:id="2402"/>
    <w:bookmarkStart w:name="637603858" w:id="2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токов в обмотках, обусловленных перегрузкой;</w:t>
      </w:r>
    </w:p>
    <w:bookmarkEnd w:id="2403"/>
    <w:bookmarkStart w:name="637603859" w:id="2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понижения уровня масла;</w:t>
      </w:r>
    </w:p>
    <w:bookmarkEnd w:id="2404"/>
    <w:bookmarkStart w:name="637603860" w:id="2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частичного пробоя изоляции вводов 500 кВ;</w:t>
      </w:r>
    </w:p>
    <w:bookmarkEnd w:id="2405"/>
    <w:bookmarkStart w:name="637603861" w:id="2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однофазных замыканий на землю на стороне 6–35кВ трансформаторов</w:t>
      </w:r>
    </w:p>
    <w:bookmarkEnd w:id="2406"/>
    <w:bookmarkStart w:name="637603862" w:id="2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неполнофазного режима (для автотрансформаторов и блоков генератор – трансформатор).</w:t>
      </w:r>
    </w:p>
    <w:bookmarkEnd w:id="2407"/>
    <w:bookmarkStart w:name="637603863" w:id="2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649. Для шунтирующих реакторов 500 кВ предусматриваются устройства релейной защиты от следующих видов повреждений и ненормальных режимов работы:</w:t>
      </w:r>
    </w:p>
    <w:bookmarkEnd w:id="2408"/>
    <w:bookmarkStart w:name="637603864" w:id="24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однофазных и двухфазных замыканий на землю в обмотках и на выводах;</w:t>
      </w:r>
    </w:p>
    <w:bookmarkEnd w:id="2409"/>
    <w:bookmarkStart w:name="637603865" w:id="2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витковых замыканий в обмотках;</w:t>
      </w:r>
    </w:p>
    <w:bookmarkEnd w:id="2410"/>
    <w:bookmarkStart w:name="637603866" w:id="2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понижение уровня масла;</w:t>
      </w:r>
    </w:p>
    <w:bookmarkEnd w:id="2411"/>
    <w:bookmarkStart w:name="637603867" w:id="24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частичного пробоя изоляции вводов.</w:t>
      </w:r>
    </w:p>
    <w:bookmarkEnd w:id="2412"/>
    <w:bookmarkStart w:name="637603868" w:id="24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650. Газовая защита от повреждений внутри кожуха, сопровождающихся выделением газа, и от понижения уровня масла должна быть предусмотрена:</w:t>
      </w:r>
    </w:p>
    <w:bookmarkEnd w:id="2413"/>
    <w:bookmarkStart w:name="637603869" w:id="2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трансформаторов мощностью 4 МВ*А и более;</w:t>
      </w:r>
    </w:p>
    <w:bookmarkEnd w:id="2414"/>
    <w:bookmarkStart w:name="637603870" w:id="2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шунтирующих реакторов напряжением 500 кВ;</w:t>
      </w:r>
    </w:p>
    <w:bookmarkEnd w:id="2415"/>
    <w:bookmarkStart w:name="637603871" w:id="2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внутрицеховых понижающих трансформаторов мощностью 630 кВ*А и более.</w:t>
      </w:r>
    </w:p>
    <w:bookmarkEnd w:id="2416"/>
    <w:bookmarkStart w:name="637603872" w:id="24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Газовую защиту можно устанавливать также на трансформаторах мощностью 1–2,5 МВА.</w:t>
      </w:r>
    </w:p>
    <w:bookmarkEnd w:id="2417"/>
    <w:bookmarkStart w:name="637603873" w:id="2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p>
    <w:bookmarkEnd w:id="2418"/>
    <w:bookmarkStart w:name="637603874" w:id="2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повреждений внутри кожуха трансформатора, сопровождающихся выделением газа, может быть выполнена также с использованием реле давления.</w:t>
      </w:r>
    </w:p>
    <w:bookmarkEnd w:id="2419"/>
    <w:bookmarkStart w:name="637603875" w:id="2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понижения уровня масла может быть выполнена также в виде отдельного реле уровня в расширителе трансформатора.</w:t>
      </w:r>
    </w:p>
    <w:bookmarkEnd w:id="2420"/>
    <w:bookmarkStart w:name="637603876" w:id="24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контакторного устройства РПН с разрывом дуги в масле предусматривается отдельное газовое реле и реле давления (без перевода на сигнал).</w:t>
      </w:r>
    </w:p>
    <w:bookmarkEnd w:id="2421"/>
    <w:bookmarkStart w:name="637603877" w:id="2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избирателей РПН, размещаемых в отдельном баке, предусматривается отдельное газовое реле.</w:t>
      </w:r>
    </w:p>
    <w:bookmarkEnd w:id="2422"/>
    <w:bookmarkStart w:name="637603878" w:id="2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p>
    <w:bookmarkEnd w:id="2423"/>
    <w:bookmarkStart w:name="637603879" w:id="2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выполнение газовой защиты с действием отключающего элемента только на сигнал:</w:t>
      </w:r>
    </w:p>
    <w:bookmarkEnd w:id="2424"/>
    <w:bookmarkStart w:name="637603880" w:id="24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трансформаторах, которые установлены в районах, подверженных землетрясениям;</w:t>
      </w:r>
    </w:p>
    <w:bookmarkEnd w:id="2425"/>
    <w:bookmarkStart w:name="637603881" w:id="24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внутрицеховых понижающих трансформаторах мощностью 2,5 МВЧА и менее, не имеющих выключателей со стороны высшего напряжения.</w:t>
      </w:r>
    </w:p>
    <w:bookmarkEnd w:id="2426"/>
    <w:bookmarkStart w:name="637603882" w:id="2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651. Для защиты от повреждений на выводах, а также от внутренних повреждений должны быть предусмотрены:</w:t>
      </w:r>
    </w:p>
    <w:bookmarkEnd w:id="2427"/>
    <w:bookmarkStart w:name="637603883" w:id="2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продольная дифференциальная токовая защита без выдержки времени на трансформаторах мощностью 6,3 МВ А и более, на шунтирующих реакторах 500 кВ, а также на трансформаторах мощностью 4 МВ А при параллельной работе последних с целью селективного отключения поврежденного трансформатора.</w:t>
      </w:r>
    </w:p>
    <w:bookmarkEnd w:id="2428"/>
    <w:bookmarkStart w:name="637603884" w:id="2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Дифференциальная защита может быть предусмотрена на трансформаторах меньшей мощности, но не менее 1 MB А, если:</w:t>
      </w:r>
    </w:p>
    <w:bookmarkEnd w:id="2429"/>
    <w:bookmarkStart w:name="637603885" w:id="2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токовая отсечка не удовлетворяет требованиям чувствительности, а максимальная токовая защита имеет выдержку времени более 0,5 сек;</w:t>
      </w:r>
    </w:p>
    <w:bookmarkEnd w:id="2430"/>
    <w:bookmarkStart w:name="637603886" w:id="2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 установлен в районе, подверженном землетрясениям;</w:t>
      </w:r>
    </w:p>
    <w:bookmarkEnd w:id="2431"/>
    <w:bookmarkStart w:name="637603887" w:id="24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p>
    <w:bookmarkEnd w:id="2432"/>
    <w:bookmarkStart w:name="637603888" w:id="2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целях повышения эффективности ближнего резервирования защиты автотрансформатора с высшим напряжением 220 кВ и выше должны выполняться с разделением на две группы, так чтобы указанные дифференциальные защиты входили в одну из групп, а газовые – в другую.</w:t>
      </w:r>
    </w:p>
    <w:bookmarkEnd w:id="2433"/>
    <w:bookmarkStart w:name="637603889" w:id="2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автотрансформаторов и шунтирующих реакторов 500 кВ необходимо предусматривать 2 комплекта дифференциальных токовых защит.</w:t>
      </w:r>
    </w:p>
    <w:bookmarkEnd w:id="2434"/>
    <w:bookmarkStart w:name="637603890" w:id="2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защиты должны действовать на отключение всех выключателей трансформатора.</w:t>
      </w:r>
    </w:p>
    <w:bookmarkEnd w:id="2435"/>
    <w:bookmarkStart w:name="637603891" w:id="24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652. Продольная дифференциальная токовая защита должна осуществляться с применением специальных реле тока, или микропроцессорных устройств, отстроенных от бросков тока намагничивания, переходных и установившихся токов небаланса.</w:t>
      </w:r>
    </w:p>
    <w:bookmarkEnd w:id="2436"/>
    <w:bookmarkStart w:name="637603892" w:id="2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Продольная дифференциальная защита должна быть выполнена так, чтобы в зону ее действия входили соединения трансформатора со сборными шинами.</w:t>
      </w:r>
    </w:p>
    <w:bookmarkEnd w:id="2437"/>
    <w:bookmarkStart w:name="637603893" w:id="24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использование для дифференциальной защиты трансформаторов тока, встроенных в трансформатор, при наличии дифзащиты ошиновки или дифзащиты шин, обеспечивающих отключение КЗ в соединениях трансформатора со сборными шинами.</w:t>
      </w:r>
    </w:p>
    <w:bookmarkEnd w:id="2438"/>
    <w:bookmarkStart w:name="637603894" w:id="2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p>
    <w:bookmarkEnd w:id="2439"/>
    <w:bookmarkStart w:name="637603895" w:id="2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653. На дифференциальную и газовую защиты трансформаторов,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p>
    <w:bookmarkEnd w:id="2440"/>
    <w:bookmarkStart w:name="637603896" w:id="2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654. Устройство контроля изоляции вводов (далее - КИВ) 500 кВ должно быть выполнено с действием на сигнал при снижении уровня изоляции вводов, не требующем немедленного отключения, и на отключение при повреждении изоляции ввода (до того, как произойдет полный пробой изоляции).</w:t>
      </w:r>
    </w:p>
    <w:bookmarkEnd w:id="2441"/>
    <w:bookmarkStart w:name="637603897" w:id="2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Должна быть предусмотрена блокировка, предотвращающая ложные срабатывания устройства КИВ при обрывах в цепях присоединения КИВ к выводам.</w:t>
      </w:r>
    </w:p>
    <w:bookmarkEnd w:id="2442"/>
    <w:bookmarkStart w:name="637603898" w:id="24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655. В случаях присоединения трансформаторов (кроме внутрицеховых) к линиям без выключателей для отключения повреждений в трансформаторе должно быть предусмотрено одно из следующих мероприятий:</w:t>
      </w:r>
    </w:p>
    <w:bookmarkEnd w:id="2443"/>
    <w:bookmarkStart w:name="637603899" w:id="2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установка короткозамыкателя для искусственного замыкания на землю одной фазы (для сети с глухозаземленной нейтралью) или двух фаз мужду собой (для сети с изолированной нейтралью) и, если это необходимо, отделителя, автоматически отключающегося в бестоковую паузу АПВ линии. Короткозамыкатель должен быть установлен вне зоны дифференциальной защиты трансформатора;</w:t>
      </w:r>
    </w:p>
    <w:bookmarkEnd w:id="2444"/>
    <w:bookmarkStart w:name="637603900" w:id="2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p>
    <w:bookmarkEnd w:id="2445"/>
    <w:bookmarkStart w:name="637603901" w:id="2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 или дублированием передачи отключающего сигнала по другому каналу.</w:t>
      </w:r>
    </w:p>
    <w:bookmarkEnd w:id="2446"/>
    <w:bookmarkStart w:name="637603902" w:id="2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Передача отключающего сигнала взамен мероприятий по подпунктам 1) и 2) настоящего пункта применяются для трансформаторов подстанций 110 кВ и выше;</w:t>
      </w:r>
    </w:p>
    <w:bookmarkEnd w:id="2447"/>
    <w:bookmarkStart w:name="637603903" w:id="2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установка предохранителей на стороне высшего напряжения понижающего трансформатора.</w:t>
      </w:r>
    </w:p>
    <w:bookmarkEnd w:id="2448"/>
    <w:bookmarkStart w:name="637603904" w:id="2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Мероприятия подпунктов 1)–4) настоящего пункта не предусматриваются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 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bookmarkEnd w:id="2449"/>
    <w:bookmarkStart w:name="637603905" w:id="2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применения мероприятий подпунктов 1) или 3) настоящего пункта на трансформаторе должны быть установлены:</w:t>
      </w:r>
    </w:p>
    <w:bookmarkEnd w:id="2450"/>
    <w:bookmarkStart w:name="637603906" w:id="2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на стороне высшего напряжения трансформатора (110 кВ и выше) встроенных трансформаторов тока – защиты по пунктам 648, 650, 655 и 656 настоящих Правил;</w:t>
      </w:r>
    </w:p>
    <w:bookmarkEnd w:id="2451"/>
    <w:bookmarkStart w:name="637603907" w:id="24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встроенных трансформаторов тока – дифференциальная в соответствии с пунктом 650 настоящих Правил или максимальная токовая защита, выполненная с использованием накладных или магнитных трансформаторов тока, и газовая защита по пункту 650 настоящих Правил.</w:t>
      </w:r>
    </w:p>
    <w:bookmarkEnd w:id="2452"/>
    <w:bookmarkStart w:name="637603908" w:id="2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Повреждения на выводах высшего напряжения трансформаторов допускается ликвидировать защитой линии.</w:t>
      </w:r>
    </w:p>
    <w:bookmarkEnd w:id="2453"/>
    <w:bookmarkStart w:name="637603909" w:id="24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применены открытые плавкие вставки, то для повышения чувствительности действие газовой защиты может осуществляться на выполнение механическим путем искусственного КЗ на вставках.</w:t>
      </w:r>
    </w:p>
    <w:bookmarkEnd w:id="2454"/>
    <w:bookmarkStart w:name="637603910" w:id="2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p>
    <w:bookmarkEnd w:id="2455"/>
    <w:bookmarkStart w:name="637603911" w:id="24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656. На трансформаторах мощностью 1 МВ А и более в качестве резервной защиты от внешних многофазных КЗ должны быть предусмотрены следующие защиты с действием на отключение:</w:t>
      </w:r>
    </w:p>
    <w:bookmarkEnd w:id="2456"/>
    <w:bookmarkStart w:name="637603912" w:id="24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w:t>
      </w:r>
    </w:p>
    <w:bookmarkEnd w:id="2457"/>
    <w:bookmarkStart w:name="637603913" w:id="2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дистанционной защиты.</w:t>
      </w:r>
    </w:p>
    <w:bookmarkEnd w:id="2458"/>
    <w:bookmarkStart w:name="637603914" w:id="24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p>
    <w:bookmarkEnd w:id="2459"/>
    <w:bookmarkStart w:name="637603915" w:id="2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p>
    <w:bookmarkEnd w:id="2460"/>
    <w:bookmarkStart w:name="637603916" w:id="2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автотрансформаторах 500 кВ предусматриваются дистанционная защита для действия при внешних многофазных КЗ (двухступенчатую на каждой из сторон ВН и СН). На автотрансформаторах 220 кВ предусматривается дистанционная защита от внешних многофазных КЗ (в случаях, когда это требуется для обеспечения дальнего резервирования или согласования защит смежных напряжений) или токовую направленную защиту обратной последовательности от несимметричных КЗ и максимальную токовую защиту с пуском минимального напряжения от симметричных КЗ.</w:t>
      </w:r>
    </w:p>
    <w:bookmarkEnd w:id="2461"/>
    <w:bookmarkStart w:name="637603917" w:id="24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657. На трансформаторах мощностью менее 1 MB 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p>
    <w:bookmarkEnd w:id="2462"/>
    <w:bookmarkStart w:name="637603918" w:id="24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658. Защиту от токов, обусловленных внешними многофазными КЗ, устанавливают:</w:t>
      </w:r>
    </w:p>
    <w:bookmarkEnd w:id="2463"/>
    <w:bookmarkStart w:name="637603919" w:id="24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двухобмоточных трансформаторах – со стороны основного питания;</w:t>
      </w:r>
    </w:p>
    <w:bookmarkEnd w:id="2464"/>
    <w:bookmarkStart w:name="637603920" w:id="2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многообмоточных трансформаторах, присоединенных тремя и более выключателями, – со всех сторон трансформатора;</w:t>
      </w:r>
    </w:p>
    <w:bookmarkEnd w:id="2465"/>
    <w:bookmarkStart w:name="637603921" w:id="24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понижающем двухобмоточном трансформаторе, питающем раздельно работающие секции, – со стороны питания и со стороны каждой секции;</w:t>
      </w:r>
    </w:p>
    <w:bookmarkEnd w:id="2466"/>
    <w:bookmarkStart w:name="637603922" w:id="2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 на трехобомоточном трансформаторе.</w:t>
      </w:r>
    </w:p>
    <w:bookmarkEnd w:id="2467"/>
    <w:bookmarkStart w:name="637603923" w:id="24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p>
    <w:bookmarkEnd w:id="2468"/>
    <w:bookmarkStart w:name="637603924" w:id="24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защиты от токов, обусловленных внешними многофазными КЗ пo пункту 657 настоящих Правил,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bookmarkEnd w:id="2469"/>
    <w:bookmarkStart w:name="637603925" w:id="24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659.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p>
    <w:bookmarkEnd w:id="2470"/>
    <w:bookmarkStart w:name="637603926" w:id="24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660. На повышающих трансформаторах мощностью 1 МВ 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наложений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p>
    <w:bookmarkEnd w:id="2471"/>
    <w:bookmarkStart w:name="637603927" w:id="24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пунктом 625 настоящих Правил. С этой целью в случаях, когда на электростанции или подстанции установлены трансформаторы с заземлением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w:t>
      </w:r>
    </w:p>
    <w:bookmarkEnd w:id="2472"/>
    <w:bookmarkStart w:name="637603928" w:id="24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661.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p>
    <w:bookmarkEnd w:id="2473"/>
    <w:bookmarkStart w:name="637603929" w:id="24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662. На автотрансформаторах 220–500 кВ подстанций, блоках генератор – трансформатор 220–500 кВ и 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допускается не предусматривать оперативного ускорения защит от внешних КЗ при наличии двух дифзащит шин, ошиновки, автотрансформаторов и блоков генератор – трансформатор, а также ошиновки высшего напряжения автотрансформаторов 220 кВ подстанций.</w:t>
      </w:r>
    </w:p>
    <w:bookmarkEnd w:id="2474"/>
    <w:bookmarkStart w:name="637603930" w:id="24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663.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предусматривается защита от однофазных замыканий на землю в сети низшего напряжения, осуществляемую применением:</w:t>
      </w:r>
    </w:p>
    <w:bookmarkEnd w:id="2475"/>
    <w:bookmarkStart w:name="637603931" w:id="24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максимальной токовой защиты от внешних КЗ, устанавливаемой на стороне высшего напряжения, в трехрелейном исполнении;</w:t>
      </w:r>
    </w:p>
    <w:bookmarkEnd w:id="2476"/>
    <w:bookmarkStart w:name="637603932" w:id="24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автоматических выключателей или предохранителей на выводах низшего напряжения;</w:t>
      </w:r>
    </w:p>
    <w:bookmarkEnd w:id="2477"/>
    <w:bookmarkStart w:name="637603933" w:id="24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специальной защиты нулевой последовательности, устанавливаемой в нулевом проводе трансформатора.</w:t>
      </w:r>
    </w:p>
    <w:bookmarkEnd w:id="2478"/>
    <w:bookmarkStart w:name="637603934" w:id="24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30 м) или соединение между трансформатором и сборкой выполнено трехфазными кабелями, допускается защиту по подпункту 3) настоящего пункта не применять.</w:t>
      </w:r>
    </w:p>
    <w:bookmarkEnd w:id="2479"/>
    <w:bookmarkStart w:name="637603935" w:id="24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защиты по подпункту 3) настоящего пункта допускается не согласовывать ее с защитами элементов, отходящих от сборки на стороне низшего напряжения.</w:t>
      </w:r>
    </w:p>
    <w:bookmarkEnd w:id="2480"/>
    <w:bookmarkStart w:name="637603936" w:id="24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схемы линия – трансформатор в случае применения защиты по подпункту 3) настоящего пункта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bookmarkEnd w:id="2481"/>
    <w:bookmarkStart w:name="637603937" w:id="2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p>
    <w:bookmarkEnd w:id="2482"/>
    <w:bookmarkStart w:name="637603938" w:id="2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664. На стороне низшего напряжения понижающих трансформаторов с высшим напряжением 3–10 кВ, питающих сборки с присоединениями, защищенными предохранителями, устанавливается главный предохранитель или автоматический выключатель.</w:t>
      </w:r>
    </w:p>
    <w:bookmarkEnd w:id="2483"/>
    <w:bookmarkStart w:name="637603939" w:id="2484"/>
    <w:p>
      <w:pPr>
        <w:spacing w:before="120" w:after="120" w:line="240"/>
        <w:ind w:left="0"/>
        <w:jc w:val="both"/>
      </w:pPr>
      <w:r>
        <w:rPr>
          <w:rFonts w:hint="default" w:ascii="Times New Roman" w:hAnsi="Times New Roman"/>
          <w:b w:val="false"/>
          <w:i w:val="false"/>
          <w:color w:val="000000"/>
          <w:sz w:val="24"/>
        </w:rPr>
        <w:t>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то главный предохранитель или автоматический выключатель на стороне  низшего напряжения трансформатора может не устанавливаться.</w:t>
      </w:r>
    </w:p>
    <w:bookmarkEnd w:id="2484"/>
    <w:bookmarkStart w:name="637603940" w:id="24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665. Защита от однофазных замыканий на землю по подпункту 8) пункта 648 настоящих Правил, должна быть выполнена в соответствии с пунктом 693 настоящих Правил.</w:t>
      </w:r>
    </w:p>
    <w:bookmarkEnd w:id="2485"/>
    <w:bookmarkStart w:name="637603941" w:id="24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666. На трансформаторах мощностью 0,4 МВ А и более в зависимости от вероятности и значения возможной перегрузки предусматривается максимальную токовую защиту оттоков, обусловленных перегрузкой, с действием на сигнал.</w:t>
      </w:r>
    </w:p>
    <w:bookmarkEnd w:id="2486"/>
    <w:bookmarkStart w:name="637603942" w:id="24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p>
    <w:bookmarkEnd w:id="2487"/>
    <w:bookmarkStart w:name="637603943" w:id="24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667.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пунктах 648–653, 655, 659 настоящих Правил следующие защиты:</w:t>
      </w:r>
    </w:p>
    <w:bookmarkEnd w:id="2488"/>
    <w:bookmarkStart w:name="637603944" w:id="2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газовую защиту добавочного трансформатора;</w:t>
      </w:r>
    </w:p>
    <w:bookmarkEnd w:id="2489"/>
    <w:bookmarkStart w:name="637603945" w:id="2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p>
    <w:bookmarkEnd w:id="2490"/>
    <w:bookmarkStart w:name="637603946" w:id="2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дифференциальную защиту, которая охватывает вторичную обмотку добавочного трансформатора.</w:t>
      </w:r>
    </w:p>
    <w:bookmarkEnd w:id="2491"/>
    <w:bookmarkStart w:name="637603947" w:id="24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668. Защиту линейного добавочного трансформатора, установленного со стороны низшего напряжения автотрансформатора, осуществляется:</w:t>
      </w:r>
    </w:p>
    <w:bookmarkEnd w:id="2492"/>
    <w:bookmarkStart w:name="637603948" w:id="24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газовой защитой собственно добавочного трансформатора и защитой контакторного устройства РПН, которая может быть выполнена с применением реле давления или отдельного газового реле;</w:t>
      </w:r>
    </w:p>
    <w:bookmarkEnd w:id="2493"/>
    <w:bookmarkStart w:name="637603949" w:id="24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дифференциальной токовой защитой цепей стороны низшего напряжения автотрансформатора.</w:t>
      </w:r>
    </w:p>
    <w:bookmarkEnd w:id="2494"/>
    <w:bookmarkStart w:name="637603950" w:id="2495"/>
    <w:p>
      <w:pPr>
        <w:spacing w:before="120" w:after="120" w:line="240"/>
        <w:ind w:left="0"/>
        <w:jc w:val="center"/>
      </w:pPr>
      <w:r>
        <w:rPr>
          <w:rFonts w:hint="default" w:ascii="Times New Roman" w:hAnsi="Times New Roman"/>
          <w:b/>
          <w:i w:val="false"/>
          <w:color w:val="000000"/>
          <w:sz w:val="24"/>
        </w:rPr>
        <w:t>Параграф 5. Защита блоков генератор–трансформатор</w:t>
      </w:r>
    </w:p>
    <w:bookmarkEnd w:id="2495"/>
    <w:bookmarkStart w:name="637603951" w:id="2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669. Для блоков генератор–трансформатор должны быть предусмотрены устройства релейной защиты от следующих видов повреждений и ненормальных режимов работы:</w:t>
      </w:r>
    </w:p>
    <w:bookmarkEnd w:id="2496"/>
    <w:bookmarkStart w:name="637603952" w:id="24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замыканий на землю на стороне генераторного напряжения;</w:t>
      </w:r>
    </w:p>
    <w:bookmarkEnd w:id="2497"/>
    <w:bookmarkStart w:name="637603953" w:id="24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многофазных замыканий в обмотке статора генератора и на его выводах;</w:t>
      </w:r>
    </w:p>
    <w:bookmarkEnd w:id="2498"/>
    <w:bookmarkStart w:name="637603954" w:id="24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замыканий между витками одной фазы в обмотке статора турбогенератора (в соответствии с пунктом 673 настоящих Правил);</w:t>
      </w:r>
    </w:p>
    <w:bookmarkEnd w:id="2499"/>
    <w:bookmarkStart w:name="637603955" w:id="25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многофазных замыканий в обмотках и на выводах трансформатора;</w:t>
      </w:r>
    </w:p>
    <w:bookmarkEnd w:id="2500"/>
    <w:bookmarkStart w:name="637603956" w:id="25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однофазных замыканий на землю в обмотке трансформатора и на ее выводах, присоединенных к сети с большими токами замыкания на землю;</w:t>
      </w:r>
    </w:p>
    <w:bookmarkEnd w:id="2501"/>
    <w:bookmarkStart w:name="637603957" w:id="25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замыканий между витками в обмотках трансформатора;</w:t>
      </w:r>
    </w:p>
    <w:bookmarkEnd w:id="2502"/>
    <w:bookmarkStart w:name="637603958" w:id="25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внешних КЗ;</w:t>
      </w:r>
    </w:p>
    <w:bookmarkEnd w:id="2503"/>
    <w:bookmarkStart w:name="637603959" w:id="25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перегрузки генератора токами обратной последовательности (для блоков с генераторами с мощностью более 30 МВт) симметричной перегрузки обмотки статора генератора и обмоток трансформатора;</w:t>
      </w:r>
    </w:p>
    <w:bookmarkEnd w:id="2504"/>
    <w:bookmarkStart w:name="637603960" w:id="25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p>
    <w:bookmarkEnd w:id="2505"/>
    <w:bookmarkStart w:name="637603961" w:id="25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повышения напряжения на статоре генератора и трансформаторе блока (для блоков с турбогенератором мощностью 160 МВт и более и для всех блоков с гидрогенераторами);</w:t>
      </w:r>
    </w:p>
    <w:bookmarkEnd w:id="2506"/>
    <w:bookmarkStart w:name="637603962" w:id="25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замыканий на землю в одной точке цепи возбуждения в соответствии с пунктом 682 настоящих Правил;</w:t>
      </w:r>
    </w:p>
    <w:bookmarkEnd w:id="2507"/>
    <w:bookmarkStart w:name="637603963" w:id="25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замыканий на землю во второй точке цепи возбуждения турбогенератора мощностью менее 160 МВт;</w:t>
      </w:r>
    </w:p>
    <w:bookmarkEnd w:id="2508"/>
    <w:bookmarkStart w:name="637603964" w:id="25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асинхронного режима;</w:t>
      </w:r>
    </w:p>
    <w:bookmarkEnd w:id="2509"/>
    <w:bookmarkStart w:name="637603965" w:id="25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понижения уровня масла в баке трансформатора;</w:t>
      </w:r>
    </w:p>
    <w:bookmarkEnd w:id="2510"/>
    <w:bookmarkStart w:name="637603966" w:id="25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снижения уровня изоляции вводов 500 кВ трансформаторов;</w:t>
      </w:r>
    </w:p>
    <w:bookmarkEnd w:id="2511"/>
    <w:bookmarkStart w:name="637603967" w:id="25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16) обратной мощности;</w:t>
      </w:r>
    </w:p>
    <w:bookmarkEnd w:id="2512"/>
    <w:bookmarkStart w:name="637603968" w:id="25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 потери возбуждения.</w:t>
      </w:r>
    </w:p>
    <w:bookmarkEnd w:id="2513"/>
    <w:bookmarkStart w:name="637603969" w:id="25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670.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 – трансформатор (автотрансформатор), с учетом требований, приведенных в пунктах 670–686 настоящих Правил.</w:t>
      </w:r>
    </w:p>
    <w:bookmarkEnd w:id="2514"/>
    <w:bookmarkStart w:name="637603970" w:id="25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671. На блоках с генераторами мощностью более 30 МВт, предусматривается защита от замыканий на землю в цепи генераторного напряжения, охватывающая всю обмотку статора.</w:t>
      </w:r>
    </w:p>
    <w:bookmarkEnd w:id="2515"/>
    <w:bookmarkStart w:name="637603971" w:id="25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мощности генератора блоков 30 МВт и менее применяется устройства, защищающие не менее 85 %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p>
    <w:bookmarkEnd w:id="2516"/>
    <w:bookmarkStart w:name="637603972" w:id="25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быть выполнена с действием на отключение с выдержкой времени не более 0,5 сек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если емкостный ток замыкания на землю составляет менее 5 А, то защита от замыканий на землю может быть выполнена так же, как на блоках без ответвлений на генераторном напряжении, но с действием на сигнал.</w:t>
      </w:r>
    </w:p>
    <w:bookmarkEnd w:id="2517"/>
    <w:bookmarkStart w:name="637603973" w:id="25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p>
    <w:bookmarkEnd w:id="2518"/>
    <w:bookmarkStart w:name="637603974" w:id="25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672. На блоке с генератором, имеющим косвенное охлаждение состоящем из одного генератора и одного трансформатора, при отсутствие выключателя в цепи генератора предусматривается одна общая продольная дифференциальная защита блока. При наличии выключателя в цепи генератора на генераторе и трансформаторе должна быть установлены отдельные дифференциальные защиты.</w:t>
      </w:r>
    </w:p>
    <w:bookmarkEnd w:id="2519"/>
    <w:bookmarkStart w:name="637603975" w:id="25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MB 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p>
    <w:bookmarkEnd w:id="2520"/>
    <w:bookmarkStart w:name="637603976" w:id="25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блоке с генератором, имеющим непосредственное охлаждение проводников обмоток, предусматривается отдельная продольная дифференциальная защита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устанавливается либо отдельная дифференциальная защита,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p>
    <w:bookmarkEnd w:id="2521"/>
    <w:bookmarkStart w:name="637603977" w:id="25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 стороны высшего напряжения дифференциальная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p>
    <w:bookmarkEnd w:id="2522"/>
    <w:bookmarkStart w:name="637603978" w:id="25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Отдельная дифференциальная защита генераторов должна быть выполнена трехфазной трехрелейной с током срабатывания аналогично указанному в пункте 633 настоящих Правил.</w:t>
      </w:r>
    </w:p>
    <w:bookmarkEnd w:id="2523"/>
    <w:bookmarkStart w:name="637603979" w:id="25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предусматривается резервная дифференциальная защита, охватывающую генератор и трансформатор блока вместе с ошиновкой на стороне высшего напряжения.</w:t>
      </w:r>
    </w:p>
    <w:bookmarkEnd w:id="2524"/>
    <w:bookmarkStart w:name="637603980" w:id="25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Устанавливается резервная дифференциальная защита блока и при мощности генераторов с непосредственным охлаждением проводников обмоток менее 160 МВт.</w:t>
      </w:r>
    </w:p>
    <w:bookmarkEnd w:id="2525"/>
    <w:bookmarkStart w:name="637603981" w:id="25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резервной дифференциальной защиты на блоках без выключателя в цепи генератора предусматриваются отдельные основные дифференциальные защиты генератора и трансформатора.</w:t>
      </w:r>
    </w:p>
    <w:bookmarkEnd w:id="2526"/>
    <w:bookmarkStart w:name="637603982" w:id="25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выключателя в цепи генератора резервная дифференциальная защита должна выполняться с выдержкой времени 0,35-0,5 сек.</w:t>
      </w:r>
    </w:p>
    <w:bookmarkEnd w:id="2527"/>
    <w:bookmarkStart w:name="637603983" w:id="25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673. На турбогенераторах с двумя или тремя параллельными ветвями обмотки статора должна быть предусмотрена поперечная дифференциальная защита от витковых замыканий в одной фазе, действующая без выдержки времени.</w:t>
      </w:r>
    </w:p>
    <w:bookmarkEnd w:id="2528"/>
    <w:bookmarkStart w:name="637603984" w:id="25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674. На блоках с генераторами с непосредственным охлаждением проводников обмоток должна быть предусмотрена токовая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w:t>
      </w:r>
    </w:p>
    <w:bookmarkEnd w:id="2529"/>
    <w:bookmarkStart w:name="637603985" w:id="25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пункта 678 настоящих Правил.</w:t>
      </w:r>
    </w:p>
    <w:bookmarkEnd w:id="2530"/>
    <w:bookmarkStart w:name="637603986" w:id="25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блоках с генераторами, имеющими непосредственное охлаждение проводников обмоток, а также на блоках с генераторами мощностью более 30 МВт, имеющими косвенное охлаждение, токовую защиту обратной последовательности выполняется со ступенчатой или зависимой выдержкой времени. При этом, разные ступени защиты могут иметь одну или более выдержек времени.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w:t>
      </w:r>
    </w:p>
    <w:bookmarkEnd w:id="2531"/>
    <w:bookmarkStart w:name="637603987" w:id="25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блоках с турбогенераторами с косвенным охлаждением мощностью более 30 МВт защита должна быть выполнена согласно пункта 637 настоящих Правил.</w:t>
      </w:r>
    </w:p>
    <w:bookmarkEnd w:id="2532"/>
    <w:bookmarkStart w:name="637603988" w:id="25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защит, действующих на отключение на всех блоках с генераторами по подпункту 8 пункта 669 настоящих Правил, должна быть предусмотрена сигнализация перегрузки токами обратной последовательности, выполняемая в соответствии с пунктом 637 настоящих Правил.</w:t>
      </w:r>
    </w:p>
    <w:bookmarkEnd w:id="2533"/>
    <w:bookmarkStart w:name="637603989" w:id="25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675. На блоках с генераторами мощностью более 30 МВт защита от внешних симметричных КЗ должна быть выполнена, как указано в пункте 637 настоящих Правил. При этом, для гидрогенераторов напряжение срабатывания защиты принимается около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bookmarkEnd w:id="2534"/>
    <w:bookmarkStart w:name="637603990" w:id="25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блоках с генераторами мощностью 60 МВт и более вместо указанной защиты применяется дистанционная защита. На блоках с генераторами, имеющими непосредственное охлаждение проводников обмоток, вместо резервной дифференциальной защиты допускается устанавливать двухступенчатую дистанционную защиту от междуфазных коротких замыканий.</w:t>
      </w:r>
    </w:p>
    <w:bookmarkEnd w:id="2535"/>
    <w:bookmarkStart w:name="637603991" w:id="25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Первая ступень этой защиты, осуществляющая ближнее резервирование, должна выполняться с блокировкой при качаниях и действовать, как указано в подпункте 3) пункта 678 настоящих Правил, с выдержкой времени не более 1 сек. Первая ступень должна надежно охватывать трансформатор блока при обеспечении селективности с защитами смежных элементов. Резервирование первой ступенью защит генератора обязательно, если на блоке применяются отдельные дифференциальные защиты трансформатора и генератора.</w:t>
      </w:r>
    </w:p>
    <w:bookmarkEnd w:id="2536"/>
    <w:bookmarkStart w:name="637603992" w:id="25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Вторая ступень, осуществляющая дальнее резервирование, должна действовать, как указано в подпункте 2) пункта 678 настоящих Правил.</w:t>
      </w:r>
    </w:p>
    <w:bookmarkEnd w:id="2537"/>
    <w:bookmarkStart w:name="637603993" w:id="25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Устанавливается двухступенчатая дистанционная защита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подпункте 2) пункта 678 настоящих Правил.</w:t>
      </w:r>
    </w:p>
    <w:bookmarkEnd w:id="2538"/>
    <w:bookmarkStart w:name="637603994" w:id="25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676. Защиту от внешних КЗ на блоках с генераторами мощностью 30 МВт и менее выполняется в соответствии с пунктом 639 настоящих Правил. Параметры срабатывания защиты на блоках с гидрогенераторами принимается согласно пунктам 638, 639 и 675 настоящих Правил.</w:t>
      </w:r>
    </w:p>
    <w:bookmarkEnd w:id="2539"/>
    <w:bookmarkStart w:name="637603995" w:id="25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677.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p>
    <w:bookmarkEnd w:id="2540"/>
    <w:bookmarkStart w:name="637603996" w:id="25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678. Резервная защита блоков генератор — трансформатор должна быть выполнена с учетом следующего:</w:t>
      </w:r>
    </w:p>
    <w:bookmarkEnd w:id="2541"/>
    <w:bookmarkStart w:name="637603997" w:id="25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стороне генераторного напряжения трансформатора блока защита не устанавливается, а используется защита генератора;</w:t>
      </w:r>
    </w:p>
    <w:bookmarkEnd w:id="2542"/>
    <w:bookmarkStart w:name="637603998" w:id="25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дальнем резервировании защита должна действовать, с двумя выдержками времени: с первой – на деление схемы на стороне высшего напряжения блока, со второй – на отключение блока от сети;</w:t>
      </w:r>
    </w:p>
    <w:bookmarkEnd w:id="2543"/>
    <w:bookmarkStart w:name="637603999" w:id="25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ближнем резервировании должны производиться: отключение блока (генератор1) от сети, гашение поля генератора и останов блока, если это требуется по 800;</w:t>
      </w:r>
    </w:p>
    <w:bookmarkEnd w:id="2544"/>
    <w:bookmarkStart w:name="637604000" w:id="25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имеют одну, две или три выдержки времени;</w:t>
      </w:r>
    </w:p>
    <w:bookmarkEnd w:id="2545"/>
    <w:bookmarkStart w:name="637604001" w:id="25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органы пуска напряжения защит по пунктам 674 и 675 настоящих Правил предусматривается со стороны генераторного напряжения и со стороны сети;</w:t>
      </w:r>
    </w:p>
    <w:bookmarkEnd w:id="2546"/>
    <w:bookmarkStart w:name="637604002" w:id="25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для основных и резервных защит блока, предусматриваются отдельные выходные реле и питание оперативным постоянным током от разных автоматических выключателей.</w:t>
      </w:r>
    </w:p>
    <w:bookmarkEnd w:id="2547"/>
    <w:bookmarkStart w:name="637604003" w:id="25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679. На блоках с турбогенераторами защиту от симметричных перегрузок статора выполняется так же, как на генераторах, работающих на сборные шины.</w:t>
      </w:r>
    </w:p>
    <w:bookmarkEnd w:id="2548"/>
    <w:bookmarkStart w:name="637604004" w:id="25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используются соответствующие устройства в системе регулирования возбуждения.</w:t>
      </w:r>
    </w:p>
    <w:bookmarkEnd w:id="2549"/>
    <w:bookmarkStart w:name="637604005" w:id="25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680.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p>
    <w:bookmarkEnd w:id="2550"/>
    <w:bookmarkStart w:name="637604006" w:id="25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невозможности включения защиты на ток ротора допускается применение защиты с независимой выдержкой времени, реагирующей на повышение напряжения в цепи возбуждения.</w:t>
      </w:r>
    </w:p>
    <w:bookmarkEnd w:id="2551"/>
    <w:bookmarkStart w:name="637604007" w:id="25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перегрузки в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p>
    <w:bookmarkEnd w:id="2552"/>
    <w:bookmarkStart w:name="637604008" w:id="25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гидрогенераторах мощностью более 30 МВт с косвенным охлаждением защита выполняется аналогично тому, как указано в пункте 642 настоящих Правил.</w:t>
      </w:r>
    </w:p>
    <w:bookmarkEnd w:id="2553"/>
    <w:bookmarkStart w:name="637604009" w:id="25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устройств группового управления возбуждением на генераторах выполняется защита с зависимой выдержкой времени.</w:t>
      </w:r>
    </w:p>
    <w:bookmarkEnd w:id="2554"/>
    <w:bookmarkStart w:name="637604010" w:id="25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p>
    <w:bookmarkEnd w:id="2555"/>
    <w:bookmarkStart w:name="637604011" w:id="25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681.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p>
    <w:bookmarkEnd w:id="2556"/>
    <w:bookmarkStart w:name="637604012" w:id="25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p>
    <w:bookmarkEnd w:id="2557"/>
    <w:bookmarkStart w:name="637604013" w:id="25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682.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 На генераторах с бесщеточной системой возбуждения – на отключение.</w:t>
      </w:r>
    </w:p>
    <w:bookmarkEnd w:id="2558"/>
    <w:bookmarkStart w:name="637604014" w:id="25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пунктом 644 настоящих Правил.</w:t>
      </w:r>
    </w:p>
    <w:bookmarkEnd w:id="2559"/>
    <w:bookmarkStart w:name="637604015" w:id="25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683. На блоках с турбогенераторами мощностью 160 МВт и более, имеющими непосредственное охлаждение проводников обмоток, и с гидрогенераторами предусматриваются устройства защиты от асинхронного режима с потерей возбуждения.</w:t>
      </w:r>
    </w:p>
    <w:bookmarkEnd w:id="2560"/>
    <w:bookmarkStart w:name="637604016" w:id="25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устройства применяются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p>
    <w:bookmarkEnd w:id="2561"/>
    <w:bookmarkStart w:name="637604017" w:id="25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ответвлений блока, генератор которого потерял возбуждение, на резервный источник питания.</w:t>
      </w:r>
    </w:p>
    <w:bookmarkEnd w:id="2562"/>
    <w:bookmarkStart w:name="637604018" w:id="25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p>
    <w:bookmarkEnd w:id="2563"/>
    <w:bookmarkStart w:name="637604019" w:id="25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684. При наличии выключателя в цепи генератора с непосредственным охлаждением проводников обмоток предусматривается резервирование при отказе этого выключателя (применением УРОВ).</w:t>
      </w:r>
    </w:p>
    <w:bookmarkEnd w:id="2564"/>
    <w:bookmarkStart w:name="637604020" w:id="25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685. УРОВ 110 кВ и выше на электростанциях должно быть выполнено с учетом следующего:</w:t>
      </w:r>
    </w:p>
    <w:bookmarkEnd w:id="2565"/>
    <w:bookmarkStart w:name="637604021" w:id="25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w:t>
      </w:r>
    </w:p>
    <w:bookmarkEnd w:id="2566"/>
    <w:bookmarkStart w:name="637604022" w:id="25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электростанций, на которых блоки генератор – трансформатор и линии имеют общие выключатели,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предусматривается действие УРОВ на останов передатчика высокочастотной защиты.</w:t>
      </w:r>
    </w:p>
    <w:bookmarkEnd w:id="2567"/>
    <w:bookmarkStart w:name="637604023" w:id="25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686.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p>
    <w:bookmarkEnd w:id="2568"/>
    <w:bookmarkStart w:name="637604024" w:id="25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АВР.</w:t>
      </w:r>
    </w:p>
    <w:bookmarkEnd w:id="2569"/>
    <w:bookmarkStart w:name="637604025" w:id="25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Резервные защиты генератора и трансформатора блока при внешних повреждениях должны действовать в соответствии с подпунктами 2), 4) пункта 678 настоящих Правил.</w:t>
      </w:r>
    </w:p>
    <w:bookmarkEnd w:id="2570"/>
    <w:bookmarkStart w:name="637604026" w:id="25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 хода, если этот режим допускается тепломеханическим оборудованием.</w:t>
      </w:r>
    </w:p>
    <w:bookmarkEnd w:id="2571"/>
    <w:bookmarkStart w:name="637604027" w:id="25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p>
    <w:bookmarkEnd w:id="2572"/>
    <w:bookmarkStart w:name="637604028" w:id="25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687. На блоках генератор–трансформатор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p>
    <w:bookmarkEnd w:id="2573"/>
    <w:bookmarkStart w:name="637604029" w:id="25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блока должна быть выполнена согласно приведенным выше требованиям.</w:t>
      </w:r>
    </w:p>
    <w:bookmarkEnd w:id="2574"/>
    <w:bookmarkStart w:name="637604030" w:id="25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предусматривается одновременное действие защиты блока на останов передатчика высокочастотной защиты.</w:t>
      </w:r>
    </w:p>
    <w:bookmarkEnd w:id="2575"/>
    <w:bookmarkStart w:name="637604031" w:id="25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блоках с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многоугольник 1) соответственно на перевод блока в режим холостого хода или на гашение поля генератора и останов блока. Кроме того, используется устройство телеоткпючения для ускорения гашения поля генератора и отключение собственных нужд при действии резервных защит со стороны энергосистемы.</w:t>
      </w:r>
    </w:p>
    <w:bookmarkEnd w:id="2576"/>
    <w:bookmarkStart w:name="637604032" w:id="25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подпункте 1) пункта 685 настоящих Правил.</w:t>
      </w:r>
    </w:p>
    <w:bookmarkEnd w:id="2577"/>
    <w:bookmarkStart w:name="637604033" w:id="2578"/>
    <w:p>
      <w:pPr>
        <w:spacing w:before="120" w:after="120" w:line="240"/>
        <w:ind w:left="0"/>
        <w:jc w:val="center"/>
      </w:pPr>
      <w:r>
        <w:rPr>
          <w:rFonts w:hint="default" w:ascii="Times New Roman" w:hAnsi="Times New Roman"/>
          <w:b/>
          <w:i w:val="false"/>
          <w:color w:val="000000"/>
          <w:sz w:val="24"/>
        </w:rPr>
        <w:t>Параграф 6. Защита воздушных и кабельных линий в сетях напряжением 3–10 кВ с изолированной нейтралью</w:t>
      </w:r>
    </w:p>
    <w:bookmarkEnd w:id="2578"/>
    <w:bookmarkStart w:name="637604034" w:id="25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688.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p>
    <w:bookmarkEnd w:id="2579"/>
    <w:bookmarkStart w:name="637604035" w:id="25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689. Защиту от многофазных замыканий предусматривается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p>
    <w:bookmarkEnd w:id="2580"/>
    <w:bookmarkStart w:name="637604036" w:id="25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быть выполнена одно-, двух- или трехрелейной в зависимости от требований чувствительности и надежности.</w:t>
      </w:r>
    </w:p>
    <w:bookmarkEnd w:id="2581"/>
    <w:bookmarkStart w:name="637604037" w:id="25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690. На одиночных линиях с односторонним питанием от многофазных замыканий устанавливается,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p>
    <w:bookmarkEnd w:id="2582"/>
    <w:bookmarkStart w:name="637604038" w:id="25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не 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p>
    <w:bookmarkEnd w:id="2583"/>
    <w:bookmarkStart w:name="637604039" w:id="25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на не реактированных кабельных линиях с односторонним питанием, отходящих от шин электростанций, токовые отсечки не применяются по требованиям селективности, то для обеспечения быстродействия допускается предусматривать защиты по подпунктам 2) или 3) пункта 691 настоящих Правил. Применение этих защит допускается также для рабочих линий собственных нужд тепловых электростанций.</w:t>
      </w:r>
    </w:p>
    <w:bookmarkEnd w:id="2584"/>
    <w:bookmarkStart w:name="637604040" w:id="25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реактированных линиях, выключатели которых не рассчитаны на отключение КЗ до реактора, токовые отсечки не допускаются.</w:t>
      </w:r>
    </w:p>
    <w:bookmarkEnd w:id="2585"/>
    <w:bookmarkStart w:name="637604041" w:id="25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691.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w:t>
      </w:r>
    </w:p>
    <w:bookmarkEnd w:id="2586"/>
    <w:bookmarkStart w:name="637604042" w:id="25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p>
    <w:bookmarkEnd w:id="2587"/>
    <w:bookmarkStart w:name="637604043" w:id="25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ненаправленная или направленная токовая, ступенчатая защита не обеспечивает требуемых</w:t>
      </w:r>
    </w:p>
    <w:bookmarkEnd w:id="2588"/>
    <w:bookmarkStart w:name="637604044" w:id="25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дистанционную защиту в простейшем исполнении;</w:t>
      </w:r>
    </w:p>
    <w:bookmarkEnd w:id="2589"/>
    <w:bookmarkStart w:name="637604045" w:id="25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поперечную дифференциальную токовую защиту (для сдвоенных кабельных линий);</w:t>
      </w:r>
    </w:p>
    <w:bookmarkEnd w:id="2590"/>
    <w:bookmarkStart w:name="637604046" w:id="25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км.</w:t>
      </w:r>
    </w:p>
    <w:bookmarkEnd w:id="2591"/>
    <w:bookmarkStart w:name="637604047" w:id="25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 указанных в подпунктах 2) и 3) настоящего пункта, в качестве резервной защиты предусматривается токовая защита.</w:t>
      </w:r>
    </w:p>
    <w:bookmarkEnd w:id="2592"/>
    <w:bookmarkStart w:name="637604048" w:id="25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692. При выполнении защиты параллельных линий 3–10 кВ руководствоваться указаниями для параллельных линий в сетях 35 кВ.</w:t>
      </w:r>
    </w:p>
    <w:bookmarkEnd w:id="2593"/>
    <w:bookmarkStart w:name="637604049" w:id="25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693. Защита от однофазных замыканий на землю должна быть выполнена в виде:</w:t>
      </w:r>
    </w:p>
    <w:bookmarkEnd w:id="2594"/>
    <w:bookmarkStart w:name="637604050" w:id="25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селективной защиты (устанавливающей поврежденное направление), действующей на сигнал;</w:t>
      </w:r>
    </w:p>
    <w:bookmarkEnd w:id="2595"/>
    <w:bookmarkStart w:name="637604051" w:id="25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p>
    <w:bookmarkEnd w:id="2596"/>
    <w:bookmarkStart w:name="637604052" w:id="25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p>
    <w:bookmarkEnd w:id="2597"/>
    <w:bookmarkStart w:name="637604053" w:id="25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694. Защита от однофазных замыканий на землю выполняется,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реагирующих на кратковременные замыкания, без обеспечения повторности действия.</w:t>
      </w:r>
    </w:p>
    <w:bookmarkEnd w:id="2598"/>
    <w:bookmarkStart w:name="637604054" w:id="25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однофазных замыканий на землю, действующая на отключение без выдержки времени по требованиям безопасности,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всей электрически связанной сети – системы (секции) шин или питающего трансформатора.</w:t>
      </w:r>
    </w:p>
    <w:bookmarkEnd w:id="2599"/>
    <w:bookmarkStart w:name="637604055" w:id="26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Увеличение тока промышленной частоты специально для обеспечения действия защиты в сети с нейтралью, заземленной через дугогасительный реактор, не допускается предусматривать.</w:t>
      </w:r>
    </w:p>
    <w:bookmarkEnd w:id="2600"/>
    <w:bookmarkStart w:name="637604056" w:id="2601"/>
    <w:p>
      <w:pPr>
        <w:spacing w:before="120" w:after="120" w:line="240"/>
        <w:ind w:left="0"/>
        <w:jc w:val="center"/>
      </w:pPr>
      <w:r>
        <w:rPr>
          <w:rFonts w:hint="default" w:ascii="Times New Roman" w:hAnsi="Times New Roman"/>
          <w:b/>
          <w:i w:val="false"/>
          <w:color w:val="000000"/>
          <w:sz w:val="24"/>
        </w:rPr>
        <w:t>Параграф 7. Защита воздушных и кабельных линий в сетях напряжением 20 и 35 кВ с изолированной нейтралью</w:t>
      </w:r>
    </w:p>
    <w:bookmarkEnd w:id="2601"/>
    <w:bookmarkStart w:name="637604057" w:id="26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695.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p>
    <w:bookmarkEnd w:id="2602"/>
    <w:bookmarkStart w:name="637604058" w:id="26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696. Защита от многофазных замыканий предусматривается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p>
    <w:bookmarkEnd w:id="2603"/>
    <w:bookmarkStart w:name="637604059" w:id="26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однофазных замыканий на землю выполняется, с действием на сигнал. Для осуществления защиты допускается использовать устройство контроля изоляции.</w:t>
      </w:r>
    </w:p>
    <w:bookmarkEnd w:id="2604"/>
    <w:bookmarkStart w:name="637604060" w:id="26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697. При выборе типа основной защиты учитываются требования обеспечения устойчивости работы энергосистемы и надежной работы потребителя аналогично тому, как это учитывается для защиты линий напряжением 110 кВ.</w:t>
      </w:r>
    </w:p>
    <w:bookmarkEnd w:id="2605"/>
    <w:bookmarkStart w:name="637604061" w:id="26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698.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на головных участках, – дистанционная, ступенчатая защита преимущественно с пуском по току. В последнем случае в качестве дополнительной защиты использовается токовая отсечка без выдержки времени.</w:t>
      </w:r>
    </w:p>
    <w:bookmarkEnd w:id="2606"/>
    <w:bookmarkStart w:name="637604062" w:id="26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bookmarkEnd w:id="2607"/>
    <w:bookmarkStart w:name="637604063" w:id="26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699.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применяются те же защиты, что и на одиночных линиях с односторонним питанием,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не устанавливается, из-за недостаточной ее чувствительности. Защита устанавливается, только с тех сторон, откуда может быть подано питание.</w:t>
      </w:r>
    </w:p>
    <w:bookmarkEnd w:id="2608"/>
    <w:bookmarkStart w:name="637604064" w:id="26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700. На коротких одиночных линиях с двухсторонним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 вспомогательных проводов защиты предусматриваются специальные устройства. В дополнение к продольной дифференциальной защите в качестве резервной должна быть применена одна из защит по пункту 699 настоящих Правил.</w:t>
      </w:r>
    </w:p>
    <w:bookmarkEnd w:id="2609"/>
    <w:bookmarkStart w:name="637604065" w:id="26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701. На параллельных линиях, имеющих питание с двух или более сторон, а также на питающем конце параллельных линий с односторонним питанием использоуются те же защиты, что и на соответствующих одиночных линиях.</w:t>
      </w:r>
    </w:p>
    <w:bookmarkEnd w:id="2610"/>
    <w:bookmarkStart w:name="637604066" w:id="26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p>
    <w:bookmarkEnd w:id="2611"/>
    <w:bookmarkStart w:name="637604067" w:id="26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приемном конце двух параллельных линий с односторонним питанием, используется поперечная дифференциальная направленная защита.</w:t>
      </w:r>
    </w:p>
    <w:bookmarkEnd w:id="2612"/>
    <w:bookmarkStart w:name="637604068" w:id="26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702. Если защита, по пункту 701 настоящих Правил не удовлетворяет требованиям быстродействия, а защита с контролем направления мощности в параллельной линии неприменима или нежелательна, в качестве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применяется поперечная дифференциальная направленная защита.</w:t>
      </w:r>
    </w:p>
    <w:bookmarkEnd w:id="2613"/>
    <w:bookmarkStart w:name="637604069" w:id="26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в режиме работы одной линии, а также в качестве резервной при работе двух линий используется ступенчатая защита по пунктам 697 и 698 настоящих Правил. Допускается включение этой защиты или отдельных ее ступеней на сумму токов обеих линий.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ее установка не обязательна.</w:t>
      </w:r>
    </w:p>
    <w:bookmarkEnd w:id="2614"/>
    <w:bookmarkStart w:name="637604070" w:id="26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на коротких параллельных линиях допускается применение продольной дифференциальной защиты.</w:t>
      </w:r>
    </w:p>
    <w:bookmarkEnd w:id="2615"/>
    <w:bookmarkStart w:name="637604071" w:id="2616"/>
    <w:p>
      <w:pPr>
        <w:spacing w:before="120" w:after="120" w:line="240"/>
        <w:ind w:left="0"/>
        <w:jc w:val="center"/>
      </w:pPr>
      <w:r>
        <w:rPr>
          <w:rFonts w:hint="default" w:ascii="Times New Roman" w:hAnsi="Times New Roman"/>
          <w:b/>
          <w:i w:val="false"/>
          <w:color w:val="000000"/>
          <w:sz w:val="24"/>
        </w:rPr>
        <w:t>Параграф 8. Защита воздушных линий в сетях напряжением</w:t>
      </w:r>
    </w:p>
    <w:bookmarkEnd w:id="2616"/>
    <w:bookmarkStart w:name="637604072" w:id="2617"/>
    <w:p>
      <w:pPr>
        <w:spacing w:before="120" w:after="120" w:line="240"/>
        <w:ind w:left="0"/>
        <w:jc w:val="both"/>
      </w:pPr>
      <w:r>
        <w:rPr>
          <w:rFonts w:hint="default" w:ascii="Times New Roman" w:hAnsi="Times New Roman"/>
          <w:b/>
          <w:i w:val="false"/>
          <w:color w:val="000000"/>
          <w:sz w:val="24"/>
        </w:rPr>
        <w:t>110–500 кВ с эффективно заземленной нейтралью</w:t>
      </w:r>
    </w:p>
    <w:bookmarkEnd w:id="2617"/>
    <w:bookmarkStart w:name="637604073" w:id="26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703. Для линий в сетях 110–500 кВ с эффективно заземленной нейтралью должны быть предусмотрены устройства релейной защиты от многофазных замыканий и от замыканий на землю и защита от неполнофазного режима.</w:t>
      </w:r>
    </w:p>
    <w:bookmarkEnd w:id="2618"/>
    <w:bookmarkStart w:name="637604074" w:id="2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704.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сек).</w:t>
      </w:r>
    </w:p>
    <w:bookmarkEnd w:id="2619"/>
    <w:bookmarkStart w:name="637604075" w:id="26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705. На линиях 500 кВ в качестве основной защиты должны быть предусмотрены два комплекта защит, действующих без замедления при КЗ в любой точке защищаемой линии. В качестве одной из этих защит может применяться защита абсолютной селективности. При этом, высокочастотные каналы этих защит должны осуществляться на разных фазах.</w:t>
      </w:r>
    </w:p>
    <w:bookmarkEnd w:id="2620"/>
    <w:bookmarkStart w:name="637604076" w:id="2621"/>
    <w:p>
      <w:pPr>
        <w:spacing w:before="120" w:after="120" w:line="240"/>
        <w:ind w:left="0"/>
        <w:jc w:val="both"/>
      </w:pPr>
      <w:r>
        <w:rPr>
          <w:rFonts w:hint="default" w:ascii="Times New Roman" w:hAnsi="Times New Roman"/>
          <w:b w:val="false"/>
          <w:i w:val="false"/>
          <w:color w:val="000000"/>
          <w:sz w:val="24"/>
        </w:rPr>
        <w:t>Для линий напряжением 110–220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работы энергосистемы не предъявляются другие, более жесткие требования, может быть принято, что указанное требование, удовлетворяется, когда трехфазные КЗ, при которых остаточное напряжение на шинах электростанций и подстанций ниже 0,6– 0,7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отключаются без выдержки времени. Меньшее значение остаточного напряжения (0,6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может быть допущено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p>
    <w:bookmarkEnd w:id="2621"/>
    <w:bookmarkStart w:name="637604077" w:id="26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выборе типа защит, устанавливаемых на линиях 110–220 кВ, кроме требования сохранения устойчивости работы энергосистемы должно быть учтено следующее:</w:t>
      </w:r>
    </w:p>
    <w:bookmarkEnd w:id="2622"/>
    <w:bookmarkStart w:name="637604078" w:id="26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АЭС может снижаться более чем до 0,45 номинального, обеспечивается резервирование быстродействующих защит с выдержкой времени, не превышающей 1,5 сек с учетом действия УРОВ;</w:t>
      </w:r>
    </w:p>
    <w:bookmarkEnd w:id="2623"/>
    <w:bookmarkStart w:name="637604079" w:id="2624"/>
    <w:p>
      <w:pPr>
        <w:spacing w:before="120" w:after="120" w:line="240"/>
        <w:ind w:left="0"/>
        <w:jc w:val="both"/>
      </w:pPr>
      <w:r>
        <w:rPr>
          <w:rFonts w:hint="default" w:ascii="Times New Roman" w:hAnsi="Times New Roman"/>
          <w:b w:val="false"/>
          <w:i w:val="false"/>
          <w:color w:val="000000"/>
          <w:sz w:val="24"/>
        </w:rPr>
        <w:t>2) повреждения, отключение которых с выдержкой времени может привести к нарушению работы ответственных потребителей, должны отключаться без выдержки времени (повреждения, при которых остаточное напряжение на шинах электростанций и подстанций будет ниже 0,6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если отключение их с выдержкой времени может привести к саморазгрузке вследствие лавины напряжения, или повреждения с остаточным напряжением 0,6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и более, если отключение их с выдержкой времени может привести к нарушению технологии);</w:t>
      </w:r>
    </w:p>
    <w:bookmarkEnd w:id="2624"/>
    <w:bookmarkStart w:name="637604080" w:id="26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отключении с выдержкой времени повреждений с токами, в несколько раз превосходящими номинальный, возможен недопустимый перегрев проводников.</w:t>
      </w:r>
    </w:p>
    <w:bookmarkEnd w:id="2625"/>
    <w:bookmarkStart w:name="637604081" w:id="26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p>
    <w:bookmarkEnd w:id="2626"/>
    <w:bookmarkStart w:name="637604082" w:id="26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706. При оценке обеспечения требований устойчивости, исходя из значений остаточного напряжения по пункту 705 настоящих Правил, необходимо руководствоваться следующим:</w:t>
      </w:r>
    </w:p>
    <w:bookmarkEnd w:id="2627"/>
    <w:bookmarkStart w:name="637604083" w:id="26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одиночной связи между электростанциями или энергосистемами указанное в пункте 705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p>
    <w:bookmarkEnd w:id="2628"/>
    <w:bookmarkStart w:name="637604084" w:id="26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наличии нескольких связей между электростанциями или энергосистемами указанное в пункте 705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bookmarkEnd w:id="2629"/>
    <w:bookmarkStart w:name="637604085" w:id="26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остаточное напряжение должно быть проверено при КЗ в конце зоны, охватываемой первой ступенью защиты в режиме каскадного отключения повреждения, после отключения выключателя с противоположного конца линии защитой без выдержки времени.</w:t>
      </w:r>
    </w:p>
    <w:bookmarkEnd w:id="2630"/>
    <w:bookmarkStart w:name="637604086" w:id="26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707. На одиночных линиях 110–220 кВ с односторонним питанием от многофазных замыканий устанавливаются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на головных участках, или если это целесообразно по условию согласования защит смежных участков с защитой рассматриваемого участка, предусматривается ступенчатая дистанционная защита. В последнем случае в качестве дополнительной защиты использовается токовая отсечка без выдержки времени.</w:t>
      </w:r>
    </w:p>
    <w:bookmarkEnd w:id="2631"/>
    <w:bookmarkStart w:name="637604087" w:id="26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 замыканий на землю предусматривается, ступенчатая токовая направленная или ненаправленная защита нулевой последовательности. Защита устанавливается, только с тех сторон, откуда может быть подано питание.</w:t>
      </w:r>
    </w:p>
    <w:bookmarkEnd w:id="2632"/>
    <w:bookmarkStart w:name="637604088" w:id="26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p>
    <w:bookmarkEnd w:id="2633"/>
    <w:bookmarkStart w:name="637604089" w:id="26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708. На одиночных линиях, имеющих питание с двух или более сторон,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ступенчатая дистанционная защита, используемая в качестве резервной или основной (последнее – только на линиях 110–220 кВ).</w:t>
      </w:r>
    </w:p>
    <w:bookmarkEnd w:id="2634"/>
    <w:bookmarkStart w:name="637604090" w:id="26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дополнительной защиты использовается токовая отсечка без выдержки времени.</w:t>
      </w:r>
    </w:p>
    <w:bookmarkEnd w:id="2635"/>
    <w:bookmarkStart w:name="637604091" w:id="26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 замыканий на землю предусматривается, ступенчатая токовая направленная или ненаправленная защита нулевой последовательности.</w:t>
      </w:r>
    </w:p>
    <w:bookmarkEnd w:id="2636"/>
    <w:bookmarkStart w:name="637604092" w:id="26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709. В качестве основной защиты от многофазных замыканий на приемном конце головных участков кольцевой сети с одной точкой питания применяется ступенчатая токовая направленная защита,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необходимости направленными. Защита устанавливается, только с тех сторон, откуда может быть подано питание.</w:t>
      </w:r>
    </w:p>
    <w:bookmarkEnd w:id="2637"/>
    <w:bookmarkStart w:name="637604093" w:id="26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710. На параллельных линиях, имеющих питание с двух или более сторон, а также на питающем конце параллельных линий с односторонним питанием используются те же защиты, что и на соответствующих одиночных линиях.</w:t>
      </w:r>
    </w:p>
    <w:bookmarkEnd w:id="2638"/>
    <w:bookmarkStart w:name="637604094" w:id="26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ускорения отключения замыканий на землю, а в отдельных случаях и замыканий между фазами на линиях с двусторонним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с контролем направления мощности в параллельных линиях.</w:t>
      </w:r>
    </w:p>
    <w:bookmarkEnd w:id="2639"/>
    <w:bookmarkStart w:name="637604095" w:id="26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p>
    <w:bookmarkEnd w:id="2640"/>
    <w:bookmarkStart w:name="637604096" w:id="26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приемном конце двух параллельных линий с односторонним питанием, предусматривается поперечная дифференциальная направленная защита.</w:t>
      </w:r>
    </w:p>
    <w:bookmarkEnd w:id="2641"/>
    <w:bookmarkStart w:name="637604097" w:id="26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711. В целях повышения эффективности дальнего резервирования допускается включать отдельные ступени многоступенчатых защит на сумму токов параллельных линий.</w:t>
      </w:r>
    </w:p>
    <w:bookmarkEnd w:id="2642"/>
    <w:bookmarkStart w:name="637604098" w:id="26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712. Для одиночных и параллельных линий напряжением 110–220 кВ с двух и многосторонним питанием должны предусматриваться основные защиты абсолютной селективности (высокочастотные или продольные дифференциальные) в соответствии с пунктом 705 настоящих Правил.</w:t>
      </w:r>
    </w:p>
    <w:bookmarkEnd w:id="2643"/>
    <w:bookmarkStart w:name="637604099" w:id="26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прокладки специального кабеля использование продольной дифференциальной защиты должно быть обосновано.</w:t>
      </w:r>
    </w:p>
    <w:bookmarkEnd w:id="2644"/>
    <w:bookmarkStart w:name="637604100" w:id="26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Должен быть предусмотрен контроль исправности вспомогательных проводов защиты.</w:t>
      </w:r>
    </w:p>
    <w:bookmarkEnd w:id="2645"/>
    <w:bookmarkStart w:name="637604101" w:id="26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когда это требуется по условиям быстродействия или чувствительности (на линиях с ответвлениями), вместо вышеуказанных защит предусматривается быстродействующая защита линии, выполненная с ускорением ступеней резервных защит линии с помощью передачи ВЧ сигналов.</w:t>
      </w:r>
    </w:p>
    <w:bookmarkEnd w:id="2646"/>
    <w:bookmarkStart w:name="637604102" w:id="26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особо ответственных линий напряжением 110–220 кВ на случай отказа срабатывания или выведения из действия основной быстродействующей защиты, когда отключение короткого замыкания на линии резервной защитой с выдержкой времени может привести к нарушению устойчивости нагрузки, к нарушению технологии особо ответственных производств, надежной работы атомных станций, предусматриваются, при наличии специального обоснования, вторую быстродействующую защиту линии.</w:t>
      </w:r>
    </w:p>
    <w:bookmarkEnd w:id="2647"/>
    <w:bookmarkStart w:name="637604103" w:id="26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кабельных, кабельно-воздушных линиях, а также на воздушных линиях напряжением 110–220 кВ в местах массовой застройки (при достаточном обосновании) должны устанавливаться две основные быстродействующие защиты и максимальная защита от перегрузки.</w:t>
      </w:r>
    </w:p>
    <w:bookmarkEnd w:id="2648"/>
    <w:bookmarkStart w:name="637604104" w:id="26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713. При выполнении основной защиты по пунктам 705 и 712 настоящих Правил в качестве резервных применяется:</w:t>
      </w:r>
    </w:p>
    <w:bookmarkEnd w:id="2649"/>
    <w:bookmarkStart w:name="637604105" w:id="26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 многофазных КЗ, (ступенчатые) дистанционные защиты;</w:t>
      </w:r>
    </w:p>
    <w:bookmarkEnd w:id="2650"/>
    <w:bookmarkStart w:name="637604106" w:id="26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 замыканий на землю – ступенчатые токовые направленные или ненаправленные защиты нулевой последовательности, а также дистанционные защиты от замыканий на землю.</w:t>
      </w:r>
    </w:p>
    <w:bookmarkEnd w:id="2651"/>
    <w:bookmarkStart w:name="637604107" w:id="26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случай длительного выведения из действия основной защиты, когда эта защита установлена по требованию быстроты отключения повреждения, допускается предусматривать неселективное ускорение отдельных ступеней резервных защит.</w:t>
      </w:r>
    </w:p>
    <w:bookmarkEnd w:id="2652"/>
    <w:bookmarkStart w:name="637604108" w:id="26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линиях 500 кВ предусматривается защита от неполфазного режима, возникающего при отключении или включении линии не всеми фазами.</w:t>
      </w:r>
    </w:p>
    <w:bookmarkEnd w:id="2653"/>
    <w:bookmarkStart w:name="637604109" w:id="26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714. Измерительные органы основных защит, быстродействующие ступени резервных защит и измерительные органы устройства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w:t>
      </w:r>
    </w:p>
    <w:bookmarkEnd w:id="2654"/>
    <w:bookmarkStart w:name="637604110" w:id="26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включении быстродействующих защит на сумму токов двух или более трансформаторов тока, в случае невозможности выполнения требований пункта 626 настоящих Правил, предусматриваются специальные мероприятия для исключения излишнего срабатывания защит при внешних повреждениях (загрубление защит) или устанавливать в цепи линии отдельный комплект трансформаторов тока для питания защиты.</w:t>
      </w:r>
    </w:p>
    <w:bookmarkEnd w:id="2655"/>
    <w:bookmarkStart w:name="637604111" w:id="26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w:t>
      </w:r>
    </w:p>
    <w:bookmarkEnd w:id="2656"/>
    <w:bookmarkStart w:name="637604112" w:id="26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715. В случае применения ОАПВ устройства релейной защиты должны быть выполнены так, чтобы:</w:t>
      </w:r>
    </w:p>
    <w:bookmarkEnd w:id="2657"/>
    <w:bookmarkStart w:name="637604113" w:id="26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p>
    <w:bookmarkEnd w:id="2658"/>
    <w:bookmarkStart w:name="637604114" w:id="26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неуспешном повторном включении на повреждения, указанные в подпункте 1) настоящего пункта,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bookmarkEnd w:id="2659"/>
    <w:bookmarkStart w:name="637604115" w:id="26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других видах повреждения защита действовала на отключение трех фаз.</w:t>
      </w:r>
    </w:p>
    <w:bookmarkEnd w:id="2660"/>
    <w:bookmarkStart w:name="637604116" w:id="2661"/>
    <w:p>
      <w:pPr>
        <w:spacing w:before="120" w:after="120" w:line="240"/>
        <w:ind w:left="0"/>
        <w:jc w:val="center"/>
      </w:pPr>
      <w:r>
        <w:rPr>
          <w:rFonts w:hint="default" w:ascii="Times New Roman" w:hAnsi="Times New Roman"/>
          <w:b/>
          <w:i w:val="false"/>
          <w:color w:val="000000"/>
          <w:sz w:val="24"/>
        </w:rPr>
        <w:t>Параграф 9. Защита шин. Защита на обходном, шиносоединительном и секционном выключателях</w:t>
      </w:r>
    </w:p>
    <w:bookmarkEnd w:id="2661"/>
    <w:bookmarkStart w:name="637604117" w:id="26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716. Для сборных шин 110 кВ и выше электростанций и подстанций должны быть предусмотрены отдельные устройства релейной защиты шин.</w:t>
      </w:r>
    </w:p>
    <w:bookmarkEnd w:id="2662"/>
    <w:bookmarkStart w:name="637604118" w:id="26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717. Для сборных шин 35 кВ электростанций и подстанций отдельные устройства релейной защиты должны быть предусмотрены:</w:t>
      </w:r>
    </w:p>
    <w:bookmarkEnd w:id="2663"/>
    <w:bookmarkStart w:name="637604119" w:id="26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 условиям, приведенным в пункте 705 настоящих Правил;</w:t>
      </w:r>
    </w:p>
    <w:bookmarkEnd w:id="2664"/>
    <w:bookmarkStart w:name="637604120" w:id="26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p>
    <w:bookmarkEnd w:id="2665"/>
    <w:bookmarkStart w:name="637604121" w:id="26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718. В качестве защиты сборных шин электростанций и подстанций 35 кВ и выше предусматривается, дифференциальная токовая защита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(реле, включенных через насыщающиеся трансформаторы тока, реле с торможением).</w:t>
      </w:r>
    </w:p>
    <w:bookmarkEnd w:id="2666"/>
    <w:bookmarkStart w:name="637604122" w:id="26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присоединении трансформатора (автотрансформатора) 220 кВ и выше более чем через один выключатель предусматривается дифференциальная токовая защита ошиновки. Для защиты шин и ошиновки 500 кВ необходимо предусматривать два комплекта дифференциальной токовой защиты шин (ошиновки).</w:t>
      </w:r>
    </w:p>
    <w:bookmarkEnd w:id="2667"/>
    <w:bookmarkStart w:name="637604123" w:id="26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719.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p>
    <w:bookmarkEnd w:id="2668"/>
    <w:bookmarkStart w:name="637604124" w:id="26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защите шин 110 кВ и выше и в УРОВ предусматривается возможность изменения фиксации при переводе присоединения с одной системы шин на другую.</w:t>
      </w:r>
    </w:p>
    <w:bookmarkEnd w:id="2669"/>
    <w:bookmarkStart w:name="637604125" w:id="26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720. Дифференциальная защита, указанная в пунктах 718 и 719 настоящих Правил, выполняется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bookmarkEnd w:id="2670"/>
    <w:bookmarkStart w:name="637604126" w:id="26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721. Для секционированных шин 6–10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защите, а вторая – в виде максимальной токовой защиты. Защита должна действовать на отключение питающих элементов и трансформатора собственных нужд.</w:t>
      </w:r>
    </w:p>
    <w:bookmarkEnd w:id="2671"/>
    <w:bookmarkStart w:name="637604127" w:id="26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выполняется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p>
    <w:bookmarkEnd w:id="2672"/>
    <w:bookmarkStart w:name="637604128" w:id="26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p>
    <w:bookmarkEnd w:id="2673"/>
    <w:bookmarkStart w:name="637604129" w:id="26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722.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p>
    <w:bookmarkEnd w:id="2674"/>
    <w:bookmarkStart w:name="637604130" w:id="26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723. Специальные устройства релейной защиты для одиночной секционированной и двойной систем шин 6–10 кВ понижающих подстанций, не предусматриваются,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p>
    <w:bookmarkEnd w:id="2675"/>
    <w:bookmarkStart w:name="637604131" w:id="26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724.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p>
    <w:bookmarkEnd w:id="2676"/>
    <w:bookmarkStart w:name="637604132" w:id="26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выключатели не имеют встроенных трансформаторов тока, то в целях экономии предусматриваются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p>
    <w:bookmarkEnd w:id="2677"/>
    <w:bookmarkStart w:name="637604133" w:id="26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p>
    <w:bookmarkEnd w:id="2678"/>
    <w:bookmarkStart w:name="637604134" w:id="26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725. Защита шин выполняется так, чтобы при опробовании поврежденной системы или секции шин обеспечивалось селективное отключение системы (секции) без выдержки времени.</w:t>
      </w:r>
    </w:p>
    <w:bookmarkEnd w:id="2679"/>
    <w:bookmarkStart w:name="637604135" w:id="26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726. На обходном выключателе 110 кВ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p>
    <w:bookmarkEnd w:id="2680"/>
    <w:bookmarkStart w:name="637604136" w:id="26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ступенчатая дистанционная защита и токовая отсечка от многофазных КЗ;</w:t>
      </w:r>
    </w:p>
    <w:bookmarkEnd w:id="2681"/>
    <w:bookmarkStart w:name="637604137" w:id="26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ступенчатая токовая направленная защита нулевой последовательности от замыкания на землю и дистанционная защита от КЗ на землю;</w:t>
      </w:r>
    </w:p>
    <w:bookmarkEnd w:id="2682"/>
    <w:bookmarkStart w:name="637604138" w:id="26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ступенчатая токовая защита от многофазных КЗ;</w:t>
      </w:r>
    </w:p>
    <w:bookmarkEnd w:id="2683"/>
    <w:bookmarkStart w:name="637604139" w:id="26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ступенчатая токовая защита нулевой последовательности от замыканий на землю.</w:t>
      </w:r>
    </w:p>
    <w:bookmarkEnd w:id="2684"/>
    <w:bookmarkStart w:name="637604140" w:id="26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p>
    <w:bookmarkEnd w:id="2685"/>
    <w:bookmarkStart w:name="637604141" w:id="26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необходимости допускается применение направленных токовых или дистанционных защит.</w:t>
      </w:r>
    </w:p>
    <w:bookmarkEnd w:id="2686"/>
    <w:bookmarkStart w:name="637604142" w:id="26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шиносоединительном (секционном) выключателе 110 кВ и выше, предназначенном для выполнения функции обходного выключателя, должны быть предусмотрены те же защиты, что на обходном.</w:t>
      </w:r>
    </w:p>
    <w:bookmarkEnd w:id="2687"/>
    <w:bookmarkStart w:name="637604143" w:id="26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Предусматривается перевод основных быстродействующих защит линий 110 кВ и выше на обходной выключатель.</w:t>
      </w:r>
    </w:p>
    <w:bookmarkEnd w:id="2688"/>
    <w:bookmarkStart w:name="637604144" w:id="26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шиносоединительном (секционном) выключателе 3–35 кВ должна быть предусмотрена двухступенчатая токовая защита от многофазных КЗ.</w:t>
      </w:r>
    </w:p>
    <w:bookmarkEnd w:id="2689"/>
    <w:bookmarkStart w:name="637604145" w:id="26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727. Отдельную панель защиты, предназначенную специально для использования вместо выводимой на проверку защиты линии, предусматриваются при схемах электрических соединений, в которых отсутствует обходной выключатель (четырехугольник, полуторная схема) такую отдельную панель защиты предусматриваются для линий 220 кВ, не имеющих отдельной основной защиты для линий 500 кВ.</w:t>
      </w:r>
    </w:p>
    <w:bookmarkEnd w:id="2690"/>
    <w:bookmarkStart w:name="637604146" w:id="26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p>
    <w:bookmarkEnd w:id="2691"/>
    <w:bookmarkStart w:name="637604147" w:id="2692"/>
    <w:p>
      <w:pPr>
        <w:spacing w:before="120" w:after="120" w:line="240"/>
        <w:ind w:left="0"/>
        <w:jc w:val="center"/>
      </w:pPr>
      <w:r>
        <w:rPr>
          <w:rFonts w:hint="default" w:ascii="Times New Roman" w:hAnsi="Times New Roman"/>
          <w:b/>
          <w:i w:val="false"/>
          <w:color w:val="000000"/>
          <w:sz w:val="24"/>
        </w:rPr>
        <w:t>Параграф 10. Защита синхронных компенсаторов</w:t>
      </w:r>
    </w:p>
    <w:bookmarkEnd w:id="2692"/>
    <w:bookmarkStart w:name="637604148" w:id="26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728. Устройства релейной защиты синхронных компенсаторов выполняются аналогично предусматриваемым для турбогенераторов соответствующих мощностей со следующими отличиями:</w:t>
      </w:r>
    </w:p>
    <w:bookmarkEnd w:id="2693"/>
    <w:bookmarkStart w:name="637604149" w:id="26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p>
    <w:bookmarkEnd w:id="2694"/>
    <w:bookmarkStart w:name="637604150" w:id="2695"/>
    <w:p>
      <w:pPr>
        <w:spacing w:before="120" w:after="120" w:line="240"/>
        <w:ind w:left="0"/>
        <w:jc w:val="both"/>
      </w:pPr>
      <w:r>
        <w:rPr>
          <w:rFonts w:hint="default" w:ascii="Times New Roman" w:hAnsi="Times New Roman"/>
          <w:b w:val="false"/>
          <w:i w:val="false"/>
          <w:color w:val="000000"/>
          <w:sz w:val="24"/>
        </w:rPr>
        <w:t>2) предусматривается минимальная защита напряжения, действующая на отключение выключателя синхронного компенсатора. Напряжение срабатывания защиты должно быть принято равным 0,1–02 U</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 выдержка времени – около 10 с;</w:t>
      </w:r>
    </w:p>
    <w:bookmarkEnd w:id="2695"/>
    <w:bookmarkStart w:name="637604151" w:id="26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должна быть предусмотрена защита, действующая при кратковременном исчезновении питания подстанции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реагирующей на скорость снижения частоты;</w:t>
      </w:r>
    </w:p>
    <w:bookmarkEnd w:id="2696"/>
    <w:bookmarkStart w:name="637604152" w:id="26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 синхронных компенсаторах мощностью 50 Мвар и более предусматривается защита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p>
    <w:bookmarkEnd w:id="2697"/>
    <w:bookmarkStart w:name="637604153" w:id="26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p>
    <w:bookmarkEnd w:id="2698"/>
    <w:bookmarkStart w:name="637604154" w:id="26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p>
    <w:bookmarkEnd w:id="2699"/>
    <w:bookmarkStart w:name="637604155" w:id="27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p>
    <w:bookmarkEnd w:id="2700"/>
    <w:bookmarkStart w:name="637604156" w:id="27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729.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p>
    <w:bookmarkEnd w:id="2701"/>
    <w:bookmarkStart w:name="637604157" w:id="27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замыканий на землю в цепи возбуждения синхронного компенсатора выполняются так же, как для гидрогенераторов.</w:t>
      </w:r>
    </w:p>
    <w:bookmarkEnd w:id="2702"/>
    <w:bookmarkStart w:name="637604158" w:id="2703"/>
    <w:p>
      <w:pPr>
        <w:spacing w:before="120" w:after="120" w:line="240"/>
        <w:ind w:left="0"/>
        <w:jc w:val="both"/>
      </w:pPr>
      <w:r>
        <w:rPr>
          <w:rFonts w:hint="default" w:ascii="Times New Roman" w:hAnsi="Times New Roman"/>
          <w:b/>
          <w:i w:val="false"/>
          <w:color w:val="000000"/>
          <w:sz w:val="24"/>
        </w:rPr>
        <w:t>14. Автоматика и телемеханика</w:t>
      </w:r>
    </w:p>
    <w:bookmarkEnd w:id="2703"/>
    <w:bookmarkStart w:name="637604159" w:id="2704"/>
    <w:p>
      <w:pPr>
        <w:spacing w:before="120" w:after="120" w:line="240"/>
        <w:ind w:left="0"/>
        <w:jc w:val="center"/>
      </w:pPr>
      <w:r>
        <w:rPr>
          <w:rFonts w:hint="default" w:ascii="Times New Roman" w:hAnsi="Times New Roman"/>
          <w:b/>
          <w:i w:val="false"/>
          <w:color w:val="000000"/>
          <w:sz w:val="24"/>
        </w:rPr>
        <w:t>Параграф 1. Область применения.</w:t>
      </w:r>
    </w:p>
    <w:bookmarkEnd w:id="2704"/>
    <w:bookmarkStart w:name="637604160" w:id="27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730. Настоящая глава Правил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p>
    <w:bookmarkEnd w:id="2705"/>
    <w:bookmarkStart w:name="637604161" w:id="27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АПВ линий или фаз линий, шин и прочих электроустановок после их автоматического отключения;</w:t>
      </w:r>
    </w:p>
    <w:bookmarkEnd w:id="2706"/>
    <w:bookmarkStart w:name="637604162" w:id="27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АВР резервного питания или оборудования;</w:t>
      </w:r>
    </w:p>
    <w:bookmarkEnd w:id="2707"/>
    <w:bookmarkStart w:name="637604163" w:id="27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включения синхронных генераторов и синхронных компенсаторов на параллельную работу;</w:t>
      </w:r>
    </w:p>
    <w:bookmarkEnd w:id="2708"/>
    <w:bookmarkStart w:name="637604164" w:id="27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регулирования возбуждения, напряжения и реактивной мощности;</w:t>
      </w:r>
    </w:p>
    <w:bookmarkEnd w:id="2709"/>
    <w:bookmarkStart w:name="637604165" w:id="27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регулирования частоты и активной мощности;</w:t>
      </w:r>
    </w:p>
    <w:bookmarkEnd w:id="2710"/>
    <w:bookmarkStart w:name="637604166" w:id="27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предотвращения нарушений устойчивости;</w:t>
      </w:r>
    </w:p>
    <w:bookmarkEnd w:id="2711"/>
    <w:bookmarkStart w:name="637604167" w:id="27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прекращения асинхронного режима;</w:t>
      </w:r>
    </w:p>
    <w:bookmarkEnd w:id="2712"/>
    <w:bookmarkStart w:name="637604168" w:id="27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ограничения снижения частоты;</w:t>
      </w:r>
    </w:p>
    <w:bookmarkEnd w:id="2713"/>
    <w:bookmarkStart w:name="637604169" w:id="27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ограничения повышения частоты;</w:t>
      </w:r>
    </w:p>
    <w:bookmarkEnd w:id="2714"/>
    <w:bookmarkStart w:name="637604170" w:id="27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ограничения снижения напряжения;</w:t>
      </w:r>
    </w:p>
    <w:bookmarkEnd w:id="2715"/>
    <w:bookmarkStart w:name="637604171" w:id="27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ограничения повышения напряжения;</w:t>
      </w:r>
    </w:p>
    <w:bookmarkEnd w:id="2716"/>
    <w:bookmarkStart w:name="637604172" w:id="27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предотвращения перегрузки оборудования;</w:t>
      </w:r>
    </w:p>
    <w:bookmarkEnd w:id="2717"/>
    <w:bookmarkStart w:name="637604173" w:id="27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диспетчерского контроля и управления.</w:t>
      </w:r>
    </w:p>
    <w:bookmarkEnd w:id="2718"/>
    <w:bookmarkStart w:name="637604174" w:id="27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Функции устройств по подпунктам 4) и 11) настоящего пункта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имеющими лицензии и опыт работы в электроэнергетике.</w:t>
      </w:r>
    </w:p>
    <w:bookmarkEnd w:id="2719"/>
    <w:bookmarkStart w:name="637604175" w:id="27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энергосистемах и на энергообъектах устанавливаются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данной главе.</w:t>
      </w:r>
    </w:p>
    <w:bookmarkEnd w:id="2720"/>
    <w:bookmarkStart w:name="637604176" w:id="27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электрических сетях предприятий-потребителей электроэнергии применяются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p>
    <w:bookmarkEnd w:id="2721"/>
    <w:bookmarkStart w:name="637604177" w:id="2722"/>
    <w:p>
      <w:pPr>
        <w:spacing w:before="120" w:after="120" w:line="240"/>
        <w:ind w:left="0"/>
        <w:jc w:val="center"/>
      </w:pPr>
      <w:r>
        <w:rPr>
          <w:rFonts w:hint="default" w:ascii="Times New Roman" w:hAnsi="Times New Roman"/>
          <w:b/>
          <w:i w:val="false"/>
          <w:color w:val="000000"/>
          <w:sz w:val="24"/>
        </w:rPr>
        <w:t>Параграф 2. Автоматическое повторное включение (АПВ)</w:t>
      </w:r>
    </w:p>
    <w:bookmarkEnd w:id="2722"/>
    <w:bookmarkStart w:name="637604178" w:id="27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731. Устройства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p>
    <w:bookmarkEnd w:id="2723"/>
    <w:bookmarkStart w:name="637604179" w:id="27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Должно предусматриваться автоматическое повторное включение:</w:t>
      </w:r>
    </w:p>
    <w:bookmarkEnd w:id="2724"/>
    <w:bookmarkStart w:name="637604180" w:id="27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применяется в случаях, когда оно может быть эффективным в связи со значительной вероятностью повреждений с образованием открытой дуги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выше должен решаться при проектировании в каждом отдельном случае с учетом конкретных условий;</w:t>
      </w:r>
    </w:p>
    <w:bookmarkEnd w:id="2725"/>
    <w:bookmarkStart w:name="637604181" w:id="27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шин электростанций и подстанций;</w:t>
      </w:r>
    </w:p>
    <w:bookmarkEnd w:id="2726"/>
    <w:bookmarkStart w:name="637604182" w:id="27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трансформаторов;</w:t>
      </w:r>
    </w:p>
    <w:bookmarkEnd w:id="2727"/>
    <w:bookmarkStart w:name="637604183" w:id="27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ответственных электродвигателей, отключаемых для обеспечения самозапуска других электродвигателей.</w:t>
      </w:r>
    </w:p>
    <w:bookmarkEnd w:id="2728"/>
    <w:bookmarkStart w:name="637604184" w:id="27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осуществления АПВ по подпунктам 1) и 3) настоящего пункта должны также предусматриваться устройства АПВ на обходных, шиносоединительных и секционных выключателях.</w:t>
      </w:r>
    </w:p>
    <w:bookmarkEnd w:id="2729"/>
    <w:bookmarkStart w:name="637604185" w:id="27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732. Устройства АПВ должны быть выполнены так, чтобы они не действовали при:</w:t>
      </w:r>
    </w:p>
    <w:bookmarkEnd w:id="2730"/>
    <w:bookmarkStart w:name="637604186" w:id="27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отключении выключателя персоналом дистанционно или при помощи телеуправления;</w:t>
      </w:r>
    </w:p>
    <w:bookmarkEnd w:id="2731"/>
    <w:bookmarkStart w:name="637604187" w:id="27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автоматическом отключении от релейной защиты непосредственно после включения персоналом дистанционно или при помощи телеуправления;</w:t>
      </w:r>
    </w:p>
    <w:bookmarkEnd w:id="2732"/>
    <w:bookmarkStart w:name="637604188" w:id="27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АЧР (ЧАПВ) должно выполняться в соответствии с пунктом 810 настоящих Правил.</w:t>
      </w:r>
    </w:p>
    <w:bookmarkEnd w:id="2733"/>
    <w:bookmarkStart w:name="637604189" w:id="27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p>
    <w:bookmarkEnd w:id="2734"/>
    <w:bookmarkStart w:name="637604190" w:id="27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АПВ должны выполняться с автоматическим возвратом.</w:t>
      </w:r>
    </w:p>
    <w:bookmarkEnd w:id="2735"/>
    <w:bookmarkStart w:name="637604191" w:id="27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733. При применении АПВ предусматривается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используется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включении из-за неодновременного включения фаз выключателя.</w:t>
      </w:r>
    </w:p>
    <w:bookmarkEnd w:id="2736"/>
    <w:bookmarkStart w:name="637604192" w:id="27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ускорение защиты после включения выключателя, когда линия уже включена под напряжение другим своим выключателем (при наличии симметричного напряжения на линии).</w:t>
      </w:r>
    </w:p>
    <w:bookmarkEnd w:id="2737"/>
    <w:bookmarkStart w:name="637604193" w:id="27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сек.</w:t>
      </w:r>
    </w:p>
    <w:bookmarkEnd w:id="2738"/>
    <w:bookmarkStart w:name="637604194" w:id="27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734. Устройства трехфазного АПВ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p>
    <w:bookmarkEnd w:id="2739"/>
    <w:bookmarkStart w:name="637604195" w:id="27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735. Применяются,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принимаются для воздушных линий, в особенности для одиночных с односторонним питанием. В сетях 35 кВ и ниже устройства ТАПВ двукратного действия применяется, в первую очередь, для линий, не имеющих резервирования по сети.</w:t>
      </w:r>
    </w:p>
    <w:bookmarkEnd w:id="2740"/>
    <w:bookmarkStart w:name="637604196" w:id="27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сетях с изолированной или компенсированной нейтралью, применяется блокировка второго цикла АПВ в случае замыкания на землю после АПВ первого цикла (по наличию напряжений нулевой последовательности). Выдержка времени ТАПВ во втором цикле должна быть не менее 15–20 с.</w:t>
      </w:r>
    </w:p>
    <w:bookmarkEnd w:id="2741"/>
    <w:bookmarkStart w:name="637604197" w:id="27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736.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p>
    <w:bookmarkEnd w:id="2742"/>
    <w:bookmarkStart w:name="637604198" w:id="27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Выдержка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p>
    <w:bookmarkEnd w:id="2743"/>
    <w:bookmarkStart w:name="637604199" w:id="27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 целью повышения эффективности ТАПВ однократного действия допускается увеличивать его выдержку времени (по возможности с учетом работы потребителя).</w:t>
      </w:r>
    </w:p>
    <w:bookmarkEnd w:id="2744"/>
    <w:bookmarkStart w:name="637604200" w:id="27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737. На одиночных линиях 110 кВ и выше с односторонним питанием, для которых допустим в случае неуспешного ТАПВ переход на длительную работу двумя фазами, предусматривается ТАПВ двукратного действия на питающем конце линии. Перевод линии на работу двумя фазами может производиться персоналом на месте или при помощи телеуправления.</w:t>
      </w:r>
    </w:p>
    <w:bookmarkEnd w:id="2745"/>
    <w:bookmarkStart w:name="637604201" w:id="27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перевода линии после неуспешного АПВ на работу двумя фазами предусматривается пофазное управление разъединителями или выключателями на питающем и приемном концах линии.</w:t>
      </w:r>
    </w:p>
    <w:bookmarkEnd w:id="2746"/>
    <w:bookmarkStart w:name="637604202" w:id="27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переводе линии на длительную работу двумя фазами принимаются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p>
    <w:bookmarkEnd w:id="2747"/>
    <w:bookmarkStart w:name="637604203" w:id="27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при наличии специального обоснования допускается также перерыв в работе линии связи на время неполнофазного режима.</w:t>
      </w:r>
    </w:p>
    <w:bookmarkEnd w:id="2748"/>
    <w:bookmarkStart w:name="637604204" w:id="27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738. На линиях, отключение которых не приводит к нарушению электрической связи между генерирующими источниками, на параллельных линиях с односторонним питанием, устанавливаются устройства ТАПВ без проверки синхронизма.</w:t>
      </w:r>
    </w:p>
    <w:bookmarkEnd w:id="2749"/>
    <w:bookmarkStart w:name="637604205" w:id="27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739.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p>
    <w:bookmarkEnd w:id="2750"/>
    <w:bookmarkStart w:name="637604206" w:id="27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быстродействующее ТАПВ (БАПВ);</w:t>
      </w:r>
    </w:p>
    <w:bookmarkEnd w:id="2751"/>
    <w:bookmarkStart w:name="637604207" w:id="27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несинхронное ТАПВ (НАПВ);</w:t>
      </w:r>
    </w:p>
    <w:bookmarkEnd w:id="2752"/>
    <w:bookmarkStart w:name="637604208" w:id="27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ТАПВ с улавливанием синхронизма (ТАПВ УС).</w:t>
      </w:r>
    </w:p>
    <w:bookmarkEnd w:id="2753"/>
    <w:bookmarkStart w:name="637604209" w:id="27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может предусматриваться однофазное АПВ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p>
    <w:bookmarkEnd w:id="2754"/>
    <w:bookmarkStart w:name="637604210" w:id="27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Выбор видов АПВ производится, исходя из совокупности конкретных условий работы системы и оборудования, с учетом указаний в пунктах 740 и 744 настоящих Правил.</w:t>
      </w:r>
    </w:p>
    <w:bookmarkEnd w:id="2755"/>
    <w:bookmarkStart w:name="637604211" w:id="27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740. Быстродействующее АПВ, или БАПВ (одновременное включение с минимальной выдержкой времени с обоих концов), предусматривается на линиях по пункту 739 настоящих Правил для автоматического повторного включения, при небольшом расхождении угла между векторами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bookmarkEnd w:id="2756"/>
    <w:bookmarkStart w:name="637604212" w:id="27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p>
    <w:bookmarkEnd w:id="2757"/>
    <w:bookmarkStart w:name="637604213" w:id="27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допускается.</w:t>
      </w:r>
    </w:p>
    <w:bookmarkEnd w:id="2758"/>
    <w:bookmarkStart w:name="637604214" w:id="27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741. Несинхронное АПВ (НАПВ) может применяться на линиях по пунктам 738 настоящих Правил (в основном 110–220 кВ), если:</w:t>
      </w:r>
    </w:p>
    <w:bookmarkEnd w:id="2759"/>
    <w:bookmarkStart w:name="637604215" w:id="2760"/>
    <w:p>
      <w:pPr>
        <w:spacing w:before="120" w:after="120" w:line="240"/>
        <w:ind w:left="0"/>
        <w:jc w:val="both"/>
      </w:pPr>
      <w:r>
        <w:rPr>
          <w:rFonts w:hint="default" w:ascii="Times New Roman" w:hAnsi="Times New Roman"/>
          <w:b w:val="false"/>
          <w:i w:val="false"/>
          <w:color w:val="000000"/>
          <w:sz w:val="24"/>
        </w:rPr>
        <w:t>1)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w:t>
      </w:r>
    </w:p>
    <w:bookmarkEnd w:id="2760"/>
    <w:bookmarkStart w:name="637604216" w:id="2761"/>
    <w:p>
      <w:pPr>
        <w:spacing w:before="120" w:after="120" w:line="240"/>
        <w:ind w:left="0"/>
        <w:jc w:val="both"/>
      </w:pPr>
      <w:r>
        <w:rPr>
          <w:rFonts w:hint="default" w:ascii="Times New Roman" w:hAnsi="Times New Roman"/>
          <w:b w:val="false"/>
          <w:i w:val="false"/>
          <w:color w:val="000000"/>
          <w:sz w:val="24"/>
        </w:rPr>
        <w:t>2) максимальный ток через трансформатор (автотрансформатор) при угле включения 180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меньше тока КЗ на его выводах при питании от шин бесконечной мощности;</w:t>
      </w:r>
    </w:p>
    <w:bookmarkEnd w:id="2761"/>
    <w:bookmarkStart w:name="637604217" w:id="27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p>
    <w:bookmarkEnd w:id="2762"/>
    <w:bookmarkStart w:name="637604218" w:id="27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соблюдении этих условий НАПВ допускается применять также в режиме ремонта на параллельных линиях.</w:t>
      </w:r>
    </w:p>
    <w:bookmarkEnd w:id="2763"/>
    <w:bookmarkStart w:name="637604219" w:id="27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НАПВ необходимо принять меры по предотвращению излишнего срабатывания защиты. С этой целью, в частности, осуществляется включение выключателей при НАПВ в определенной последовательности, выполнением АПВ с одной из сторон линии с контролем наличия напряжения на ней после успешного ТАПВ с противоположной стороны.</w:t>
      </w:r>
    </w:p>
    <w:bookmarkEnd w:id="2764"/>
    <w:bookmarkStart w:name="637604220" w:id="27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742. АПВ с улавливанием синхронизма может применяться на линиях по пункту 738 настоящих Правил для включения линии при значительных (примерно до 4 %) скольжениях и допустимом угле.</w:t>
      </w:r>
    </w:p>
    <w:bookmarkEnd w:id="2765"/>
    <w:bookmarkStart w:name="637604221" w:id="27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(УТАПВ БК) или ТАПВ с контролем отсутствия напряжения на линии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при помощи контроля наличия напряжения на линии).</w:t>
      </w:r>
    </w:p>
    <w:bookmarkEnd w:id="2766"/>
    <w:bookmarkStart w:name="637604222" w:id="27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улавливания синхронизма применяются устройства, построенные по принципу синхронизатора с постоянным углом опережения.</w:t>
      </w:r>
    </w:p>
    <w:bookmarkEnd w:id="2767"/>
    <w:bookmarkStart w:name="637604223" w:id="27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АПВ выполняются так, чтобы имелась возможность изменять очередность включения выключателей по концам линии.</w:t>
      </w:r>
    </w:p>
    <w:bookmarkEnd w:id="2768"/>
    <w:bookmarkStart w:name="637604224" w:id="27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пункте 740 настоящих Правил. При применении устройства АПВ УС использовается для включения линии персоналом (полуавтоматическая синхронизация).</w:t>
      </w:r>
    </w:p>
    <w:bookmarkEnd w:id="2769"/>
    <w:bookmarkStart w:name="637604225" w:id="27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743. На линиях, оборудованных трансформаторами напряжения, для контроля отсутствия напряжения (КОН) и контроля наличия напряжения (КНН) на линии при различных видах ТАПВ использоваются органы, реагирующие на линейное (фазное) напряжение и на напряжения обратной и нулевой последовательностей (на линиях без шунтирующих реакторов, можно не использовать напряжение нулевой последовательности).</w:t>
      </w:r>
    </w:p>
    <w:bookmarkEnd w:id="2770"/>
    <w:bookmarkStart w:name="637604226" w:id="27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744. Однофазное автоматическое повторное включение (ОАПВ) может применяться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применяется:</w:t>
      </w:r>
    </w:p>
    <w:bookmarkEnd w:id="2771"/>
    <w:bookmarkStart w:name="637604227" w:id="27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одиночных сильно нагруженных межсистемных или внутрисистемных линиях электропередачи;</w:t>
      </w:r>
    </w:p>
    <w:bookmarkEnd w:id="2772"/>
    <w:bookmarkStart w:name="637604228" w:id="27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сильно нагруженных межсистемных линиях 220 кВ и выше с двумя и более обходными связями при условии, что отключение одной из них может привести к нарушению динамической устойчивости энергосистемы;</w:t>
      </w:r>
    </w:p>
    <w:bookmarkEnd w:id="2773"/>
    <w:bookmarkStart w:name="637604229" w:id="27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межсистемных и внутрисистемных линиях разных классов напряжения, если трехфазное отключение линии высшего напряжения может привести к недопустимой перегрузке линий низшего напряжения с возможностью нарушения устойчивости энергосистемы;</w:t>
      </w:r>
    </w:p>
    <w:bookmarkEnd w:id="2774"/>
    <w:bookmarkStart w:name="637604230" w:id="27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 линиях, связывающих с системой крупные блочные электростанции без значительной местной нагрузки;</w:t>
      </w:r>
    </w:p>
    <w:bookmarkEnd w:id="2775"/>
    <w:bookmarkStart w:name="637604231" w:id="27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на линиях электропередачи, где осуществление ТАПВ сопряжено со значительным сбросом нагрузки вследствие понижения напряжения.</w:t>
      </w:r>
    </w:p>
    <w:bookmarkEnd w:id="2776"/>
    <w:bookmarkStart w:name="637604232" w:id="27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p>
    <w:bookmarkEnd w:id="2777"/>
    <w:bookmarkStart w:name="637604233" w:id="27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Выбор поврежденных фаз при КЗ на землю должен осуществляться при помощи избирательных органов, которые также используются в качестве дополнительной быстродействующей защиты линии в цикле ОАПВ, при ТАПВ, БАПВ и одностороннем включении линии оперативным персоналом.</w:t>
      </w:r>
    </w:p>
    <w:bookmarkEnd w:id="2778"/>
    <w:bookmarkStart w:name="637604234" w:id="27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p>
    <w:bookmarkEnd w:id="2779"/>
    <w:bookmarkStart w:name="637604235" w:id="27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745. На линиях по пункту 744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bookmarkEnd w:id="2780"/>
    <w:bookmarkStart w:name="637604236" w:id="27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746. На одиночных линиях с двусторонним питанием, связывающих систему с электростанцией небольшой мощности, применяются ТАПВ с автоматической самосинхронизацией (АПВС) гидрогенераторов для гидроэлектростанций и ТАПВ в сочетании с делительными устройствами – для гидро- и теплоэлектростанций.</w:t>
      </w:r>
    </w:p>
    <w:bookmarkEnd w:id="2781"/>
    <w:bookmarkStart w:name="637604237" w:id="27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747. На линиях с двусторонним питанием при наличии нескольких обходных связей применяются:</w:t>
      </w:r>
    </w:p>
    <w:bookmarkEnd w:id="2782"/>
    <w:bookmarkStart w:name="637604238" w:id="27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наличии двух связей, а также при наличии трех связей, если вероятно одновременное длительное отключение двух из этих связей:</w:t>
      </w:r>
    </w:p>
    <w:bookmarkEnd w:id="2783"/>
    <w:bookmarkStart w:name="637604239" w:id="27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несинхронное АПВ (в основном для линий 110–220 кВ и при соблюдении условий, указанных в пункте 740 настоящих Правил, но для случая отключения всех связей);</w:t>
      </w:r>
    </w:p>
    <w:bookmarkEnd w:id="2784"/>
    <w:bookmarkStart w:name="637604240" w:id="27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АПВ с проверкой синхронизма (при невозможности выполнения несинхронного АПВ по причинам, указанным в пункте 740 настоящих Правил, но для случая отключения всех связей).</w:t>
      </w:r>
    </w:p>
    <w:bookmarkEnd w:id="2785"/>
    <w:bookmarkStart w:name="637604241" w:id="27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пункте 740 настоящих Правил, разрешается применять устройства ОАПВ, БАПВ или АПВ УС. При этом, устройства ОАПВ и БАПВ дополняются устройством АПВ с проверкой синхронизма;</w:t>
      </w:r>
    </w:p>
    <w:bookmarkEnd w:id="2786"/>
    <w:bookmarkStart w:name="637604242" w:id="27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(если все линии одноцепные), – АПВ без проверки синхронизма.</w:t>
      </w:r>
    </w:p>
    <w:bookmarkEnd w:id="2787"/>
    <w:bookmarkStart w:name="637604243" w:id="27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748. Устройства АПВ с проверкой синхронизма выполняются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p>
    <w:bookmarkEnd w:id="2788"/>
    <w:bookmarkStart w:name="637604244" w:id="27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Использовается устройство АПВ с проверкой синхронизма для проверки синхронизма соединяемых систем при включении линии персоналом.</w:t>
      </w:r>
    </w:p>
    <w:bookmarkEnd w:id="2789"/>
    <w:bookmarkStart w:name="637604245" w:id="27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749. Допускается совместное применение нескольких видов трехфазного АПВ на линии, БАПВ и ТАПВ с проверкой синхронизма. Допускается также использовать различные виды устройств АПВ на разных концах линии, УТАПВБК на одном конце линии и ТАПВ с контролем наличия напряжения и синхронизма на другом.</w:t>
      </w:r>
    </w:p>
    <w:bookmarkEnd w:id="2790"/>
    <w:bookmarkStart w:name="637604246" w:id="27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750.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применяется поочередное АПВ, также применяются устройства АПВ с ускорением защиты до АПВ или с кратностью действия (не более трех), возрастающей по направлению к источнику питания.</w:t>
      </w:r>
    </w:p>
    <w:bookmarkEnd w:id="2791"/>
    <w:bookmarkStart w:name="637604247" w:id="27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751.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bookmarkEnd w:id="2792"/>
    <w:bookmarkStart w:name="637604248" w:id="27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линий, на которые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p>
    <w:bookmarkEnd w:id="2793"/>
    <w:bookmarkStart w:name="637604249" w:id="27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752.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предусматривать автоматическое отключение этих синхронных машин необходимо при 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p>
    <w:bookmarkEnd w:id="2794"/>
    <w:bookmarkStart w:name="637604250" w:id="27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p>
    <w:bookmarkEnd w:id="2795"/>
    <w:bookmarkStart w:name="637604251" w:id="27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753.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p>
    <w:bookmarkEnd w:id="2796"/>
    <w:bookmarkStart w:name="637604252" w:id="27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автоматическим опробованием (постановка шин под напряжение выключателем от АПВ одного из питающих элементов);</w:t>
      </w:r>
    </w:p>
    <w:bookmarkEnd w:id="2797"/>
    <w:bookmarkStart w:name="637604253" w:id="27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автоматической сборкой схемы; при этом, первым от устройства АПВ включается один из питающих элементов,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применяется первая очередь, для подстанций без постоянного дежурства персонала.</w:t>
      </w:r>
    </w:p>
    <w:bookmarkEnd w:id="2798"/>
    <w:bookmarkStart w:name="637604254" w:id="27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АПВ шин должны применяться меры, исключающие несинхронное включение (если оно является недопустимым).</w:t>
      </w:r>
    </w:p>
    <w:bookmarkEnd w:id="2799"/>
    <w:bookmarkStart w:name="637604255" w:id="28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Должна обеспечиваться достаточная чувствительность защиты шин на случай неуспешного АПВ.</w:t>
      </w:r>
    </w:p>
    <w:bookmarkEnd w:id="2800"/>
    <w:bookmarkStart w:name="637604256" w:id="28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754. На двухтрансформаторных понижающих подстанциях при раздельной работе трансформаторов, предусматривются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w:t>
      </w:r>
    </w:p>
    <w:bookmarkEnd w:id="2801"/>
    <w:bookmarkStart w:name="637604257" w:id="28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p>
    <w:bookmarkEnd w:id="2802"/>
    <w:bookmarkStart w:name="637604258" w:id="28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755. Устройствами АПВ должны быть оборудованы все одиночные понижающие трансформаторы мощностью более 1 МВхА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p>
    <w:bookmarkEnd w:id="2803"/>
    <w:bookmarkStart w:name="637604259" w:id="28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756.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не допускается.</w:t>
      </w:r>
    </w:p>
    <w:bookmarkEnd w:id="2804"/>
    <w:bookmarkStart w:name="637604260" w:id="28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757.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выполняютьсяАПВ так, чтобы одновременное включение нескольких выключателей было исключено.</w:t>
      </w:r>
    </w:p>
    <w:bookmarkEnd w:id="2805"/>
    <w:bookmarkStart w:name="637604261" w:id="28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p>
    <w:bookmarkEnd w:id="2806"/>
    <w:bookmarkStart w:name="637604262" w:id="28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758.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p>
    <w:bookmarkEnd w:id="2807"/>
    <w:bookmarkStart w:name="637604263" w:id="2808"/>
    <w:p>
      <w:pPr>
        <w:spacing w:before="120" w:after="120" w:line="240"/>
        <w:ind w:left="0"/>
        <w:jc w:val="center"/>
      </w:pPr>
      <w:r>
        <w:rPr>
          <w:rFonts w:hint="default" w:ascii="Times New Roman" w:hAnsi="Times New Roman"/>
          <w:b/>
          <w:i w:val="false"/>
          <w:color w:val="000000"/>
          <w:sz w:val="24"/>
        </w:rPr>
        <w:t>Параграф 3. Автоматическое включение резервного питания и оборудования (АВР)</w:t>
      </w:r>
    </w:p>
    <w:bookmarkEnd w:id="2808"/>
    <w:bookmarkStart w:name="637604264" w:id="28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759.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p>
    <w:bookmarkEnd w:id="2809"/>
    <w:bookmarkStart w:name="637604265" w:id="28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АВР также предусматривается, если при их применении возможно упрощение релейной зашиты, снижение токов КЗ и удешевление аппаратуры за счет замены кольцевых сетей радиально-секционированными.</w:t>
      </w:r>
    </w:p>
    <w:bookmarkEnd w:id="2810"/>
    <w:bookmarkStart w:name="637604266" w:id="28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АВР устанавливаются на трансформаторах, линиях, секционных и шиносоединительных выключателях, электродвигателях.</w:t>
      </w:r>
    </w:p>
    <w:bookmarkEnd w:id="2811"/>
    <w:bookmarkStart w:name="637604267" w:id="28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760. Устройство АВР,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w:t>
      </w:r>
    </w:p>
    <w:bookmarkEnd w:id="2812"/>
    <w:bookmarkStart w:name="637604268" w:id="28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761. Устройство АВР при отключении выключателя рабочего источника питания должно включать, без дополнительной выдержки времени, выключатель резервного источника питания. При этом, должна быть обеспечена однократность действия устройства.</w:t>
      </w:r>
    </w:p>
    <w:bookmarkEnd w:id="2813"/>
    <w:bookmarkStart w:name="637604269" w:id="28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762.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в схеме АВР в дополнение к указанному в пункте 760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p>
    <w:bookmarkEnd w:id="2814"/>
    <w:bookmarkStart w:name="637604270" w:id="28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763.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p>
    <w:bookmarkEnd w:id="2815"/>
    <w:bookmarkStart w:name="637604271" w:id="28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764.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больше времени действия АПВ со стороны питания.</w:t>
      </w:r>
    </w:p>
    <w:bookmarkEnd w:id="2816"/>
    <w:bookmarkStart w:name="637604272" w:id="28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Минимальный элемент напряжения пускового органа АВР,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этого требуется специальная установка трансформатора напряжения.</w:t>
      </w:r>
    </w:p>
    <w:bookmarkEnd w:id="2817"/>
    <w:bookmarkStart w:name="637604273" w:id="28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765. Если при использовании пуска АВР по напряжению время его действия может оказаться недопустимо большим (при наличии в составе нагрузки значительной доли синхронных электродвигателей), применяется в дополнение к пусковому органу напряжения пусковые органы других типов (реагирующие на исчезновение тока, снижение частоты, изменение направления мощности).</w:t>
      </w:r>
    </w:p>
    <w:bookmarkEnd w:id="2818"/>
    <w:bookmarkStart w:name="637604274" w:id="28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p>
    <w:bookmarkEnd w:id="2819"/>
    <w:bookmarkStart w:name="637604275" w:id="28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технологической необходимости может выполняться пуск устройства автоматического включения резервного оборудования от различных специальных датчиков (давления, уровня).</w:t>
      </w:r>
    </w:p>
    <w:bookmarkEnd w:id="2820"/>
    <w:bookmarkStart w:name="637604276" w:id="28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766.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p>
    <w:bookmarkEnd w:id="2821"/>
    <w:bookmarkStart w:name="637604277" w:id="28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767. При выполнении устройств АВР проверяются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(отключение неответственных, а в некоторых случаях и части ответственных электродвигателей, для последних применяется АПВ).</w:t>
      </w:r>
    </w:p>
    <w:bookmarkEnd w:id="2822"/>
    <w:bookmarkStart w:name="637604278" w:id="28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768.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в отдельных случаях, при специальном обосновании невозможности выполнения указанных мероприятий, допускается не предусматривать АВР.</w:t>
      </w:r>
    </w:p>
    <w:bookmarkEnd w:id="2823"/>
    <w:bookmarkStart w:name="637604279" w:id="28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769. При действии устройства АВР, когда возможно включение выключателя на КЗ, предусматривается ускорение действия защиты этого выключателя. При этом, должны быть приняты меры для предотвращения отключений резервного питания по цепи ускорения защиты за счет бросков тока включения.</w:t>
      </w:r>
    </w:p>
    <w:bookmarkEnd w:id="2824"/>
    <w:bookmarkStart w:name="637604280" w:id="28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сек, при этом, в цепь ускорения должна быть введена выдержка времени около 0,5 сек. Для прочих электроустановок значения выдержек времени принимаются, исходя из конкретных условий.</w:t>
      </w:r>
    </w:p>
    <w:bookmarkEnd w:id="2825"/>
    <w:bookmarkStart w:name="637604281" w:id="28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770.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при исчезновении питания автоматически отключаются синхронные машины или переводятся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p>
    <w:bookmarkEnd w:id="2826"/>
    <w:bookmarkStart w:name="637604282" w:id="28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p>
    <w:bookmarkEnd w:id="2827"/>
    <w:bookmarkStart w:name="637604283" w:id="28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подстанций с асинхронными компенсаторами или синхронными электродвигателями должны применяться меры, предотвращающие неправильную работу АЧР при действии АВР.</w:t>
      </w:r>
    </w:p>
    <w:bookmarkEnd w:id="2828"/>
    <w:bookmarkStart w:name="637604284" w:id="28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771.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применяется сочетание устройств АВР и АПВ. Устройства АВР должны действовать при внутренних повреждениях рабочего источника, АПВ – при прочих повреждениях.</w:t>
      </w:r>
    </w:p>
    <w:bookmarkEnd w:id="2829"/>
    <w:bookmarkStart w:name="637604285" w:id="28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После успешного действия устройств АПВ или АВР должно, обеспечиваться более полное автоматическое восстановление схемы доаварийного режима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p>
    <w:bookmarkEnd w:id="2830"/>
    <w:bookmarkStart w:name="637604286" w:id="2831"/>
    <w:p>
      <w:pPr>
        <w:spacing w:before="120" w:after="120" w:line="240"/>
        <w:ind w:left="0"/>
        <w:jc w:val="center"/>
      </w:pPr>
      <w:r>
        <w:rPr>
          <w:rFonts w:hint="default" w:ascii="Times New Roman" w:hAnsi="Times New Roman"/>
          <w:b/>
          <w:i w:val="false"/>
          <w:color w:val="000000"/>
          <w:sz w:val="24"/>
        </w:rPr>
        <w:t>Параграф 4. Включение генераторов</w:t>
      </w:r>
    </w:p>
    <w:bookmarkEnd w:id="2831"/>
    <w:bookmarkStart w:name="637604287" w:id="28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772.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p>
    <w:bookmarkEnd w:id="2832"/>
    <w:bookmarkStart w:name="637604288" w:id="28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773.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w:t>
      </w:r>
    </w:p>
    <w:bookmarkEnd w:id="2833"/>
    <w:bookmarkStart w:name="637604289" w:id="2834"/>
    <w:p>
      <w:pPr>
        <w:spacing w:before="120" w:after="120" w:line="240"/>
        <w:ind w:left="0"/>
        <w:jc w:val="both"/>
      </w:pPr>
      <w:r>
        <w:rPr>
          <w:rFonts w:hint="default" w:ascii="Times New Roman" w:hAnsi="Times New Roman"/>
          <w:b w:val="false"/>
          <w:i w:val="false"/>
          <w:color w:val="000000"/>
          <w:sz w:val="24"/>
        </w:rPr>
        <w:t>1) 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2834"/>
    <w:bookmarkStart w:name="637604290" w:id="28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турбогенераторов с непосредственным охлаждением обмоток типов ТВВ, ТВФ, ТГВ и ТВМ;</w:t>
      </w:r>
    </w:p>
    <w:bookmarkEnd w:id="2835"/>
    <w:bookmarkStart w:name="637604291" w:id="28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гидрогенераторов мощностью 50 МВт и более.</w:t>
      </w:r>
    </w:p>
    <w:bookmarkEnd w:id="2836"/>
    <w:bookmarkStart w:name="637604292" w:id="28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аварийных режимах в электрической системе включение на параллельную работу всех генераторов вне зависимости от системы охлаждения и мощности может производиться способом самосинхронизации.</w:t>
      </w:r>
    </w:p>
    <w:bookmarkEnd w:id="2837"/>
    <w:bookmarkStart w:name="637604293" w:id="28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774. Способ самосинхронизации как основной способ включения на параллельную работу может предусматриваться для:</w:t>
      </w:r>
    </w:p>
    <w:bookmarkEnd w:id="2838"/>
    <w:bookmarkStart w:name="637604294" w:id="28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турбогенераторов мощностью до 3 МВт;</w:t>
      </w:r>
    </w:p>
    <w:bookmarkEnd w:id="2839"/>
    <w:bookmarkStart w:name="637604295" w:id="2840"/>
    <w:p>
      <w:pPr>
        <w:spacing w:before="120" w:after="120" w:line="240"/>
        <w:ind w:left="0"/>
        <w:jc w:val="both"/>
      </w:pPr>
      <w:r>
        <w:rPr>
          <w:rFonts w:hint="default" w:ascii="Times New Roman" w:hAnsi="Times New Roman"/>
          <w:b w:val="false"/>
          <w:i w:val="false"/>
          <w:color w:val="000000"/>
          <w:sz w:val="24"/>
        </w:rPr>
        <w:t>2) 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w:t>
      </w:r>
      <w:r>
        <w:rPr>
          <w:rFonts w:hint="default" w:ascii="Times New Roman" w:hAnsi="Times New Roman"/>
          <w:b w:val="false"/>
          <w:i w:val="false"/>
          <w:color w:val="000000"/>
          <w:vertAlign w:val="subscript"/>
        </w:rPr>
        <w:t>ном</w:t>
      </w:r>
      <w:r>
        <w:rPr>
          <w:rFonts w:hint="default" w:ascii="Times New Roman" w:hAnsi="Times New Roman"/>
          <w:b w:val="false"/>
          <w:i w:val="false"/>
          <w:color w:val="000000"/>
          <w:sz w:val="24"/>
        </w:rPr>
        <w:t xml:space="preserve"> ;</w:t>
      </w:r>
    </w:p>
    <w:bookmarkEnd w:id="2840"/>
    <w:bookmarkStart w:name="637604296" w:id="28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турбогенераторов с косвенным охлаждением, работающих в блоке с трансформаторами;</w:t>
      </w:r>
    </w:p>
    <w:bookmarkEnd w:id="2841"/>
    <w:bookmarkStart w:name="637604297" w:id="28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гидрогенераторов мощностью до 50 МВт;</w:t>
      </w:r>
    </w:p>
    <w:bookmarkEnd w:id="2842"/>
    <w:bookmarkStart w:name="637604298" w:id="28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гидрогенераторов, электрически жестко связанных между собой и работающих через общий выключатель при их суммарной мощности до 50 МВт.</w:t>
      </w:r>
    </w:p>
    <w:bookmarkEnd w:id="2843"/>
    <w:bookmarkStart w:name="637604299" w:id="28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указанных случаях не предусматриваются устройства полуавтоматической и автоматической точной синхронизации.</w:t>
      </w:r>
    </w:p>
    <w:bookmarkEnd w:id="2844"/>
    <w:bookmarkStart w:name="637604300" w:id="28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775. При использовании способа самосинхронизации как основного способа включения генераторов на параллельную работу предусматривается установка на гидрогенераторах устройств автоматической самосинхронизации, на турбогенераторах – устройств ручной или полуавтоматической самосинхронизации.</w:t>
      </w:r>
    </w:p>
    <w:bookmarkEnd w:id="2845"/>
    <w:bookmarkStart w:name="637604301" w:id="28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776. При использовании способа точной синхронизации в качестве основного способа включения генераторов на параллельную работу, предусматривается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включения.</w:t>
      </w:r>
    </w:p>
    <w:bookmarkEnd w:id="2846"/>
    <w:bookmarkStart w:name="637604302" w:id="28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777.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p>
    <w:bookmarkEnd w:id="2847"/>
    <w:bookmarkStart w:name="637604303" w:id="28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p>
    <w:bookmarkEnd w:id="2848"/>
    <w:bookmarkStart w:name="637604304" w:id="28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778.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p>
    <w:bookmarkEnd w:id="2849"/>
    <w:bookmarkStart w:name="637604305" w:id="28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779.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p>
    <w:bookmarkEnd w:id="2850"/>
    <w:bookmarkStart w:name="637604306" w:id="2851"/>
    <w:p>
      <w:pPr>
        <w:spacing w:before="120" w:after="120" w:line="240"/>
        <w:ind w:left="0"/>
        <w:jc w:val="center"/>
      </w:pPr>
      <w:r>
        <w:rPr>
          <w:rFonts w:hint="default" w:ascii="Times New Roman" w:hAnsi="Times New Roman"/>
          <w:b/>
          <w:i w:val="false"/>
          <w:color w:val="000000"/>
          <w:sz w:val="24"/>
        </w:rPr>
        <w:t>Параграф 5. Автоматическое регулирование возбуждения, направяжения и реактивной мощности</w:t>
      </w:r>
    </w:p>
    <w:bookmarkEnd w:id="2851"/>
    <w:bookmarkStart w:name="637604307" w:id="28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780. Устройства автоматического регулирования возбуждения, напряжения и реактивной мощности предназначены для:</w:t>
      </w:r>
    </w:p>
    <w:bookmarkEnd w:id="2852"/>
    <w:bookmarkStart w:name="637604308" w:id="28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поддержания напряжения в электрической системе и у электроприемников по заданным характеристикам при нормальной работе электроэнергетической системы;</w:t>
      </w:r>
    </w:p>
    <w:bookmarkEnd w:id="2853"/>
    <w:bookmarkStart w:name="637604309" w:id="28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распределения реактивной нагрузки между источниками реактивной мощности по заданному закону;</w:t>
      </w:r>
    </w:p>
    <w:bookmarkEnd w:id="2854"/>
    <w:bookmarkStart w:name="637604310" w:id="28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повышения статической и динамической устойчивости электрических систем и демпфирования колебаний в переходных режимах.</w:t>
      </w:r>
    </w:p>
    <w:bookmarkEnd w:id="2855"/>
    <w:bookmarkStart w:name="637604311" w:id="28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781. Синхронные машины (генераторы, компенсаторы, электродвигатели) должны быть оборудованы устройствами АРВ. Автоматические регуляторы возбуждения должны на системы возбуждения и техническим условиям на оборудование систем возбуждения.</w:t>
      </w:r>
    </w:p>
    <w:bookmarkEnd w:id="2856"/>
    <w:bookmarkStart w:name="637604312" w:id="28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пунктами 740 и 741 настоящих Правил.</w:t>
      </w:r>
    </w:p>
    <w:bookmarkEnd w:id="2857"/>
    <w:bookmarkStart w:name="637604313" w:id="28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782.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p>
    <w:bookmarkEnd w:id="2858"/>
    <w:bookmarkStart w:name="637604314" w:id="28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подключении АРВ к трансформатору напряжения, имеющему предохранители на первичной стороне:</w:t>
      </w:r>
    </w:p>
    <w:bookmarkEnd w:id="2859"/>
    <w:bookmarkStart w:name="637604315" w:id="28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АРВ и другие устройства системы возбуждения, потеря питания которых может 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p>
    <w:bookmarkEnd w:id="2860"/>
    <w:bookmarkStart w:name="637604316" w:id="28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p>
    <w:bookmarkEnd w:id="2861"/>
    <w:bookmarkStart w:name="637604317" w:id="28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АРВ и другие устройства системы возбуждения должны присоединяться к их вторичным выводам через автоматические выключатели;</w:t>
      </w:r>
    </w:p>
    <w:bookmarkEnd w:id="2862"/>
    <w:bookmarkStart w:name="637604318" w:id="28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p>
    <w:bookmarkEnd w:id="2863"/>
    <w:bookmarkStart w:name="637604319" w:id="28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подключении АРВ к трансформатору напряжения, не имеющему предохранителей на первичной стороне.</w:t>
      </w:r>
    </w:p>
    <w:bookmarkEnd w:id="2864"/>
    <w:bookmarkStart w:name="637604320" w:id="28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трансформаторам напряжения, к которым подключаются АРВ и другие устройства системы возбуждения,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p>
    <w:bookmarkEnd w:id="2865"/>
    <w:bookmarkStart w:name="637604321" w:id="28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783.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может быть дополнено релейным устройством быстродействующего развозбуждения.</w:t>
      </w:r>
    </w:p>
    <w:bookmarkEnd w:id="2866"/>
    <w:bookmarkStart w:name="637604322" w:id="28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784.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p>
    <w:bookmarkEnd w:id="2867"/>
    <w:bookmarkStart w:name="637604323" w:id="28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785.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p>
    <w:bookmarkEnd w:id="2868"/>
    <w:bookmarkStart w:name="637604324" w:id="28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786.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p>
    <w:bookmarkEnd w:id="2869"/>
    <w:bookmarkStart w:name="637604325" w:id="28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p>
    <w:bookmarkEnd w:id="2870"/>
    <w:bookmarkStart w:name="637604326" w:id="28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787. Для генераторов мощностью 100 МВт и более и для компенсаторов мощностью 100 Мвар и более устанавливаются быстродействующие системы возбуждения с АРВ сильного действия.</w:t>
      </w:r>
    </w:p>
    <w:bookmarkEnd w:id="2871"/>
    <w:bookmarkStart w:name="637604327" w:id="28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определяемых условиями работы электростанции в энергосистеме, допускается устанавливать АРВ другого типа, а также медленнодействующие системы возбуждения.</w:t>
      </w:r>
    </w:p>
    <w:bookmarkEnd w:id="2872"/>
    <w:bookmarkStart w:name="637604328" w:id="28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788.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p>
    <w:bookmarkEnd w:id="2873"/>
    <w:bookmarkStart w:name="637604329" w:id="28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машин, работающих в блоке с трансформаторами, должна быть предусмотрена возможность токовой компенсации потери напряжения в трансформаторе.</w:t>
      </w:r>
    </w:p>
    <w:bookmarkEnd w:id="2874"/>
    <w:bookmarkStart w:name="637604330" w:id="28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789.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выполняется в зависимости от схемы, режима и мощности электростанции.</w:t>
      </w:r>
    </w:p>
    <w:bookmarkEnd w:id="2875"/>
    <w:bookmarkStart w:name="637604331" w:id="28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790.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p>
    <w:bookmarkEnd w:id="2876"/>
    <w:bookmarkStart w:name="637604332" w:id="28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791. 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p>
    <w:bookmarkEnd w:id="2877"/>
    <w:bookmarkStart w:name="637604333" w:id="28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792. Конденсаторные установки должны быть оборудованы устройствами автоматического регулирования в соответствии с главой 23 натоящих Правил.</w:t>
      </w:r>
    </w:p>
    <w:bookmarkEnd w:id="2878"/>
    <w:bookmarkStart w:name="637604334" w:id="2879"/>
    <w:p>
      <w:pPr>
        <w:spacing w:before="120" w:after="120" w:line="240"/>
        <w:ind w:left="0"/>
        <w:jc w:val="center"/>
      </w:pPr>
      <w:r>
        <w:rPr>
          <w:rFonts w:hint="default" w:ascii="Times New Roman" w:hAnsi="Times New Roman"/>
          <w:b/>
          <w:i w:val="false"/>
          <w:color w:val="000000"/>
          <w:sz w:val="24"/>
        </w:rPr>
        <w:t>Параграф 6. Автоматическое регулирвоание частоты и активной мощности (АРЧМ)</w:t>
      </w:r>
    </w:p>
    <w:bookmarkEnd w:id="2879"/>
    <w:bookmarkStart w:name="637604335" w:id="28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793. Системы автоматического регулирования частоты и активной мощности (АРЧМ) предназначены для:</w:t>
      </w:r>
    </w:p>
    <w:bookmarkEnd w:id="2880"/>
    <w:bookmarkStart w:name="637604336" w:id="28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поддержания частоты в энергообъединениях и изолированных энергосистемах в нормальных режимах согласно требованиям на качество электрической энергии;</w:t>
      </w:r>
    </w:p>
    <w:bookmarkEnd w:id="2881"/>
    <w:bookmarkStart w:name="637604337" w:id="28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регулирования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p>
    <w:bookmarkEnd w:id="2882"/>
    <w:bookmarkStart w:name="637604338" w:id="28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распределения мощности (в том числе экономичного) между объектами управления на всех уровнях диспетчерского управления (ЕЭС, ОЭС, энергосистемы, электрические станции).</w:t>
      </w:r>
    </w:p>
    <w:bookmarkEnd w:id="2883"/>
    <w:bookmarkStart w:name="637604339" w:id="28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794.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пределах ±0,1 Гц в десятиминутных интервалах и ограничение перетока мощности по контролируемым связям с подавлением не менее чем на 70 % амплитуды колебаний перетока мощности с периодом 2 минуты и более.</w:t>
      </w:r>
    </w:p>
    <w:bookmarkEnd w:id="2884"/>
    <w:bookmarkStart w:name="637604340" w:id="28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795. В систему АРЧМ должны входить:</w:t>
      </w:r>
    </w:p>
    <w:bookmarkEnd w:id="2885"/>
    <w:bookmarkStart w:name="637604341" w:id="28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устройства автоматического регулирования частоты, обменной мощности и ограничения перетоков на диспетчерских пунктах;</w:t>
      </w:r>
    </w:p>
    <w:bookmarkEnd w:id="2886"/>
    <w:bookmarkStart w:name="637604342" w:id="28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p>
    <w:bookmarkEnd w:id="2887"/>
    <w:bookmarkStart w:name="637604343" w:id="28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устройства управления активной мощностью на электростанциях, привлекаемых к участию в автоматическом управлении мощностью;</w:t>
      </w:r>
    </w:p>
    <w:bookmarkEnd w:id="2888"/>
    <w:bookmarkStart w:name="637604344" w:id="28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датчики перетоков активной мощности и средства телемеханики.</w:t>
      </w:r>
    </w:p>
    <w:bookmarkEnd w:id="2889"/>
    <w:bookmarkStart w:name="637604345" w:id="28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796.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p>
    <w:bookmarkEnd w:id="2890"/>
    <w:bookmarkStart w:name="637604346" w:id="28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797. Устройства автоматического управления мощностью электростанций должны обеспечивать:</w:t>
      </w:r>
    </w:p>
    <w:bookmarkEnd w:id="2891"/>
    <w:bookmarkStart w:name="637604347" w:id="28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p>
    <w:bookmarkEnd w:id="2892"/>
    <w:bookmarkStart w:name="637604348" w:id="28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формирование управляющих воздействий на отдельные агрегаты (энергоблоки);</w:t>
      </w:r>
    </w:p>
    <w:bookmarkEnd w:id="2893"/>
    <w:bookmarkStart w:name="637604349" w:id="28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поддержание мощности агрегатов (энергоблоков) в соответствии с полученными управляющими воздействиями.</w:t>
      </w:r>
    </w:p>
    <w:bookmarkEnd w:id="2894"/>
    <w:bookmarkStart w:name="637604350" w:id="28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798. Управление мощностью электростанции должно осуществляться со статизмом по частоте, изменяемым в пределах от 3 до 6%.</w:t>
      </w:r>
    </w:p>
    <w:bookmarkEnd w:id="2895"/>
    <w:bookmarkStart w:name="637604351" w:id="28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799.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p>
    <w:bookmarkEnd w:id="2896"/>
    <w:bookmarkStart w:name="637604352" w:id="28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Гидроэлектростанции, мощность которых определяется режимом водотока, оборудовается автоматическими регуляторами мощности по водотоку.</w:t>
      </w:r>
    </w:p>
    <w:bookmarkEnd w:id="2897"/>
    <w:bookmarkStart w:name="637604353" w:id="28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800.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p>
    <w:bookmarkEnd w:id="2898"/>
    <w:bookmarkStart w:name="637604354" w:id="28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p>
    <w:bookmarkEnd w:id="2899"/>
    <w:bookmarkStart w:name="637604355" w:id="29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801.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p>
    <w:bookmarkEnd w:id="2900"/>
    <w:bookmarkStart w:name="637604356" w:id="29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Суммарное значение сигналов в средствах телемеханики и устройствах АРЧМ не должно превышать 5 секунд.</w:t>
      </w:r>
    </w:p>
    <w:bookmarkEnd w:id="2901"/>
    <w:bookmarkStart w:name="637604357" w:id="2902"/>
    <w:p>
      <w:pPr>
        <w:spacing w:before="120" w:after="120" w:line="240"/>
        <w:ind w:left="0"/>
        <w:jc w:val="center"/>
      </w:pPr>
      <w:r>
        <w:rPr>
          <w:rFonts w:hint="default" w:ascii="Times New Roman" w:hAnsi="Times New Roman"/>
          <w:b/>
          <w:i w:val="false"/>
          <w:color w:val="000000"/>
          <w:sz w:val="24"/>
        </w:rPr>
        <w:t>Параграф 7. Автоматическое предотвращение нарушений устойчивости</w:t>
      </w:r>
    </w:p>
    <w:bookmarkEnd w:id="2902"/>
    <w:bookmarkStart w:name="637604358" w:id="29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802.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 для сохранения динамической устойчивости и обеспечения нормативного запаса статической устойчивости в послеаварийных режимах.</w:t>
      </w:r>
    </w:p>
    <w:bookmarkEnd w:id="2903"/>
    <w:bookmarkStart w:name="637604359" w:id="29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автоматического предотвращения нарушения устойчивости предусматриваются для действия в случаях:</w:t>
      </w:r>
    </w:p>
    <w:bookmarkEnd w:id="2904"/>
    <w:bookmarkStart w:name="637604360" w:id="29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может привести к потере значительной части нагрузки энергосистемы;</w:t>
      </w:r>
    </w:p>
    <w:bookmarkEnd w:id="2905"/>
    <w:bookmarkStart w:name="637604361" w:id="29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w:t>
      </w:r>
    </w:p>
    <w:bookmarkEnd w:id="2906"/>
    <w:bookmarkStart w:name="637604362" w:id="29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отказов выключателя с действием УРОВ при КЗ в нормальном режиме работы энергосистемы и в нормальной схеме работы сети;</w:t>
      </w:r>
    </w:p>
    <w:bookmarkEnd w:id="2907"/>
    <w:bookmarkStart w:name="637604363" w:id="29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полного разделения энергосистемы на несинхронно работающие части электропередач в нормальном режиме;</w:t>
      </w:r>
    </w:p>
    <w:bookmarkEnd w:id="2908"/>
    <w:bookmarkStart w:name="637604364" w:id="29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значительного аварийного дефицита или избытка мощности в одной из соединяемых частей энергообъединения;</w:t>
      </w:r>
    </w:p>
    <w:bookmarkEnd w:id="2909"/>
    <w:bookmarkStart w:name="637604365" w:id="29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работы устройств БАПВ или АПВ в нормальных схеме и режиме.</w:t>
      </w:r>
    </w:p>
    <w:bookmarkEnd w:id="2910"/>
    <w:bookmarkStart w:name="637604366" w:id="29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803. Устройства автоматического предотвращения нарушений устойчивости могут воздействовать на:</w:t>
      </w:r>
    </w:p>
    <w:bookmarkEnd w:id="2911"/>
    <w:bookmarkStart w:name="637604367" w:id="29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отключение части генераторов гидроэлектростанций и как исключение – генераторов или блоков тепловых электростанций;</w:t>
      </w:r>
    </w:p>
    <w:bookmarkEnd w:id="2912"/>
    <w:bookmarkStart w:name="637604368" w:id="29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p>
    <w:bookmarkEnd w:id="2913"/>
    <w:bookmarkStart w:name="637604369" w:id="29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p>
    <w:bookmarkEnd w:id="2914"/>
    <w:bookmarkStart w:name="637604370" w:id="29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деление энергосистем (если указанные выше мероприятия недостаточны);</w:t>
      </w:r>
    </w:p>
    <w:bookmarkEnd w:id="2915"/>
    <w:bookmarkStart w:name="637604371" w:id="29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кратковременное быстрое снижение нагрузки паровых турбин (с последующим автоматическим восстановлением прежней нагрузки).</w:t>
      </w:r>
    </w:p>
    <w:bookmarkEnd w:id="2916"/>
    <w:bookmarkStart w:name="637604372" w:id="29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шунтирующих реакторов, автоматических регуляторов возбуждения генераторов. Снижение активной мощности электростанций при повреждениях по пункту 801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bookmarkEnd w:id="2917"/>
    <w:bookmarkStart w:name="637604373" w:id="29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804. Интенсивность управляющих воздействий, подаваемых устройствами автоматического предотвращения нарушений устойчивости, должна определяться интенсивностью возмущающего воздействия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p>
    <w:bookmarkEnd w:id="2918"/>
    <w:bookmarkStart w:name="637604374" w:id="2919"/>
    <w:p>
      <w:pPr>
        <w:spacing w:before="120" w:after="120" w:line="240"/>
        <w:ind w:left="0"/>
        <w:jc w:val="center"/>
      </w:pPr>
      <w:r>
        <w:rPr>
          <w:rFonts w:hint="default" w:ascii="Times New Roman" w:hAnsi="Times New Roman"/>
          <w:b/>
          <w:i w:val="false"/>
          <w:color w:val="000000"/>
          <w:sz w:val="24"/>
        </w:rPr>
        <w:t>Параграф 8. Автоматическое прекращение асинхронного режима</w:t>
      </w:r>
    </w:p>
    <w:bookmarkEnd w:id="2919"/>
    <w:bookmarkStart w:name="637604375" w:id="29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805. Для прекращения асинхронного режима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p>
    <w:bookmarkEnd w:id="2920"/>
    <w:bookmarkStart w:name="637604376" w:id="29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устройства выполняются так, чтобы они прежде всего способствовали осуществлению мероприятий, направленных на облегчение условий ресинхронизации:</w:t>
      </w:r>
    </w:p>
    <w:bookmarkEnd w:id="2921"/>
    <w:bookmarkStart w:name="637604377" w:id="29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быстрому набору нагрузки турбинами или частичному отключению потребителей (в той части энергосистемы, в которой возник дефицит мощности);</w:t>
      </w:r>
    </w:p>
    <w:bookmarkEnd w:id="2922"/>
    <w:bookmarkStart w:name="637604378" w:id="29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p>
    <w:bookmarkEnd w:id="2923"/>
    <w:bookmarkStart w:name="637604379" w:id="29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p>
    <w:bookmarkEnd w:id="2924"/>
    <w:bookmarkStart w:name="637604380" w:id="29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p>
    <w:bookmarkEnd w:id="2925"/>
    <w:bookmarkStart w:name="637604381" w:id="2926"/>
    <w:p>
      <w:pPr>
        <w:spacing w:before="120" w:after="120" w:line="240"/>
        <w:ind w:left="0"/>
        <w:jc w:val="center"/>
      </w:pPr>
      <w:r>
        <w:rPr>
          <w:rFonts w:hint="default" w:ascii="Times New Roman" w:hAnsi="Times New Roman"/>
          <w:b/>
          <w:i w:val="false"/>
          <w:color w:val="000000"/>
          <w:sz w:val="24"/>
        </w:rPr>
        <w:t>Параграф 9. Автоматическое ограничение снижения частоты</w:t>
      </w:r>
    </w:p>
    <w:bookmarkEnd w:id="2926"/>
    <w:bookmarkStart w:name="637604382" w:id="29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806.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секунд, а с частотой ниже 48,5 Гц – 60 секунд.</w:t>
      </w:r>
    </w:p>
    <w:bookmarkEnd w:id="2927"/>
    <w:bookmarkStart w:name="637604383" w:id="29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807. Система автоматического ограничения снижения частоты осуществляет:</w:t>
      </w:r>
    </w:p>
    <w:bookmarkEnd w:id="2928"/>
    <w:bookmarkStart w:name="637604384" w:id="29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автоматический частотный ввод резерва;</w:t>
      </w:r>
    </w:p>
    <w:bookmarkEnd w:id="2929"/>
    <w:bookmarkStart w:name="637604385" w:id="29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автоматическую частотную разгрузку (АЧР);</w:t>
      </w:r>
    </w:p>
    <w:bookmarkEnd w:id="2930"/>
    <w:bookmarkStart w:name="637604386" w:id="29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дополнительную разгрузку;</w:t>
      </w:r>
    </w:p>
    <w:bookmarkEnd w:id="2931"/>
    <w:bookmarkStart w:name="637604387" w:id="29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включение питания отключенных потребителей при восстановлении частоты (ЧАПВ);</w:t>
      </w:r>
    </w:p>
    <w:bookmarkEnd w:id="2932"/>
    <w:bookmarkStart w:name="637604388" w:id="29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выделение электростанций или генераторов со сбалансированной нагрузкой, выделение генераторов на питание собственных нужд электростанций.</w:t>
      </w:r>
    </w:p>
    <w:bookmarkEnd w:id="2933"/>
    <w:bookmarkStart w:name="637604389" w:id="29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808. Автоматический ввод резерва при снижении частоты должен использоваться в первую очередь, чтобы по возможности уменьшить объем отключения или длительность перерыва питания потребителей, и предусматривает:</w:t>
      </w:r>
    </w:p>
    <w:bookmarkEnd w:id="2934"/>
    <w:bookmarkStart w:name="637604390" w:id="29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мобилизацию включенного резерва на тепловых электростанциях;</w:t>
      </w:r>
    </w:p>
    <w:bookmarkEnd w:id="2935"/>
    <w:bookmarkStart w:name="637604391" w:id="29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автоматический пуск гидроагрегатов, находящихся в резерве;</w:t>
      </w:r>
    </w:p>
    <w:bookmarkEnd w:id="2936"/>
    <w:bookmarkStart w:name="637604392" w:id="29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автоматический переход в активный режим гидрогенераторов, работающих в режиме синхронных компенсаторов;</w:t>
      </w:r>
    </w:p>
    <w:bookmarkEnd w:id="2937"/>
    <w:bookmarkStart w:name="637604393" w:id="29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автоматический пуск газотурбинных установок.</w:t>
      </w:r>
    </w:p>
    <w:bookmarkEnd w:id="2938"/>
    <w:bookmarkStart w:name="637604394" w:id="29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809. Автоматическая частотная разгрузка предусматривает отключение потребителей небольшими долями по мере снижения частоты (АЧР I) или по мере увеличения продолжительности существования пониженной частоты (АЧР II).</w:t>
      </w:r>
    </w:p>
    <w:bookmarkEnd w:id="2939"/>
    <w:bookmarkStart w:name="637604395" w:id="29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АЧР должны устанавливаться, на подстанциях энергосистемы. Допускается их установка непосредственно у потребителей под контролем энергосистемы.</w:t>
      </w:r>
    </w:p>
    <w:bookmarkEnd w:id="2940"/>
    <w:bookmarkStart w:name="637604396" w:id="29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p>
    <w:bookmarkEnd w:id="2941"/>
    <w:bookmarkStart w:name="637604397" w:id="29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Действие АЧР должно быть согласовано с работой устройств АПВ и АВР. Недопустимо уменьшение объема АЧР за счет действия устройств АВР или персонала.</w:t>
      </w:r>
    </w:p>
    <w:bookmarkEnd w:id="2942"/>
    <w:bookmarkStart w:name="637604398" w:id="29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810.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 I оказывается недостаточно эффективным по значению и скорости разгрузки.</w:t>
      </w:r>
    </w:p>
    <w:bookmarkEnd w:id="2943"/>
    <w:bookmarkStart w:name="637604399" w:id="29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определяется энергосистемой.</w:t>
      </w:r>
    </w:p>
    <w:bookmarkEnd w:id="2944"/>
    <w:bookmarkStart w:name="637604400" w:id="29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811.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p>
    <w:bookmarkEnd w:id="2945"/>
    <w:bookmarkStart w:name="637604401" w:id="29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размещении устройств и распределении нагрузки по очередям ЧАПВ учитывается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Очередность включения нагрузки от ЧАПВ должна быть обратной по сравнению с принятой для АЧР.</w:t>
      </w:r>
    </w:p>
    <w:bookmarkEnd w:id="2946"/>
    <w:bookmarkStart w:name="637604402" w:id="29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812. Выделение электростанций или генераторов со сбалансированной нагрузкой, выделение генераторов на питание собственных нужд применяется для:</w:t>
      </w:r>
    </w:p>
    <w:bookmarkEnd w:id="2947"/>
    <w:bookmarkStart w:name="637604403" w:id="29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сохранения в работе собственных нужд электростанций;</w:t>
      </w:r>
    </w:p>
    <w:bookmarkEnd w:id="2948"/>
    <w:bookmarkStart w:name="637604404" w:id="29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предотвращения полного погашения электростанций при отказе или недостаточной эффективности устройств ограничения снижения частоты по пунктам 808 и 810 настоящих Правил;</w:t>
      </w:r>
    </w:p>
    <w:bookmarkEnd w:id="2949"/>
    <w:bookmarkStart w:name="637604405" w:id="29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обеспечения питания особо ответственных потребителей;</w:t>
      </w:r>
    </w:p>
    <w:bookmarkEnd w:id="2950"/>
    <w:bookmarkStart w:name="637604406" w:id="29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взамен дополнительной разгрузки, когда это технически и экономически целесообразно.</w:t>
      </w:r>
    </w:p>
    <w:bookmarkEnd w:id="2951"/>
    <w:bookmarkStart w:name="637604407" w:id="29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813. Необходимость применения дополнительной разгрузки, объемы отключаемой (при АЧР) и включаемой (при ЧАПВ) нагрузки, уставки по времени, частоте и другим контролируемым параметрам для устройств ограничения снижения частоты определяются при эксплуатации энергосистем.</w:t>
      </w:r>
    </w:p>
    <w:bookmarkEnd w:id="2952"/>
    <w:bookmarkStart w:name="637604408" w:id="2953"/>
    <w:p>
      <w:pPr>
        <w:spacing w:before="120" w:after="120" w:line="240"/>
        <w:ind w:left="0"/>
        <w:jc w:val="center"/>
      </w:pPr>
      <w:r>
        <w:rPr>
          <w:rFonts w:hint="default" w:ascii="Times New Roman" w:hAnsi="Times New Roman"/>
          <w:b/>
          <w:i w:val="false"/>
          <w:color w:val="000000"/>
          <w:sz w:val="24"/>
        </w:rPr>
        <w:t>Параграф 10. Автоматическое ограничение повышения частоты</w:t>
      </w:r>
    </w:p>
    <w:bookmarkEnd w:id="2953"/>
    <w:bookmarkStart w:name="637604409" w:id="29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814.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действующие при повышении частоты выше 52–53 Гц. Эти устройства должны,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p>
    <w:bookmarkEnd w:id="2954"/>
    <w:bookmarkStart w:name="637604410" w:id="29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p>
    <w:bookmarkEnd w:id="2955"/>
    <w:bookmarkStart w:name="637604411" w:id="2956"/>
    <w:p>
      <w:pPr>
        <w:spacing w:before="120" w:after="120" w:line="240"/>
        <w:ind w:left="0"/>
        <w:jc w:val="center"/>
      </w:pPr>
      <w:r>
        <w:rPr>
          <w:rFonts w:hint="default" w:ascii="Times New Roman" w:hAnsi="Times New Roman"/>
          <w:b/>
          <w:i w:val="false"/>
          <w:color w:val="000000"/>
          <w:sz w:val="24"/>
        </w:rPr>
        <w:t>Параграф 11. Автоматическое ограничение снижения напряжения</w:t>
      </w:r>
    </w:p>
    <w:bookmarkEnd w:id="2956"/>
    <w:bookmarkStart w:name="637604412" w:id="29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815.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p>
    <w:bookmarkEnd w:id="2957"/>
    <w:bookmarkStart w:name="637604413" w:id="29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устройства контролируются,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bookmarkEnd w:id="2958"/>
    <w:bookmarkStart w:name="637604414" w:id="2959"/>
    <w:p>
      <w:pPr>
        <w:spacing w:before="120" w:after="120" w:line="240"/>
        <w:ind w:left="0"/>
        <w:jc w:val="center"/>
      </w:pPr>
      <w:r>
        <w:rPr>
          <w:rFonts w:hint="default" w:ascii="Times New Roman" w:hAnsi="Times New Roman"/>
          <w:b/>
          <w:i w:val="false"/>
          <w:color w:val="000000"/>
          <w:sz w:val="24"/>
        </w:rPr>
        <w:t>Параграф 12. Автоматическое ограничение повышения напряжения</w:t>
      </w:r>
    </w:p>
    <w:bookmarkEnd w:id="2959"/>
    <w:bookmarkStart w:name="637604415" w:id="29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816.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110–130 % номинального, при необходимости – с контролем значения и направления реактивной мощности по линиям электропередачи.</w:t>
      </w:r>
    </w:p>
    <w:bookmarkEnd w:id="2960"/>
    <w:bookmarkStart w:name="637604416" w:id="29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 на включение шунтирующих реакторов (если таковые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p>
    <w:bookmarkEnd w:id="2961"/>
    <w:bookmarkStart w:name="637604417" w:id="2962"/>
    <w:p>
      <w:pPr>
        <w:spacing w:before="120" w:after="120" w:line="240"/>
        <w:ind w:left="0"/>
        <w:jc w:val="center"/>
      </w:pPr>
      <w:r>
        <w:rPr>
          <w:rFonts w:hint="default" w:ascii="Times New Roman" w:hAnsi="Times New Roman"/>
          <w:b/>
          <w:i w:val="false"/>
          <w:color w:val="000000"/>
          <w:sz w:val="24"/>
        </w:rPr>
        <w:t>Параграф 13. Автоматическое предотвращение перегрузки оборудования</w:t>
      </w:r>
    </w:p>
    <w:bookmarkEnd w:id="2962"/>
    <w:bookmarkStart w:name="637604418" w:id="29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817.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10–20 минут.</w:t>
      </w:r>
    </w:p>
    <w:bookmarkEnd w:id="2963"/>
    <w:bookmarkStart w:name="637604419" w:id="29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устройства должны воздействовать на разгрузку электростанций,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bookmarkEnd w:id="2964"/>
    <w:bookmarkStart w:name="637604420" w:id="2965"/>
    <w:p>
      <w:pPr>
        <w:spacing w:before="120" w:after="120" w:line="240"/>
        <w:ind w:left="0"/>
        <w:jc w:val="center"/>
      </w:pPr>
      <w:r>
        <w:rPr>
          <w:rFonts w:hint="default" w:ascii="Times New Roman" w:hAnsi="Times New Roman"/>
          <w:b/>
          <w:i w:val="false"/>
          <w:color w:val="000000"/>
          <w:sz w:val="24"/>
        </w:rPr>
        <w:t>Параграф 14. Телемеханика</w:t>
      </w:r>
    </w:p>
    <w:bookmarkEnd w:id="2965"/>
    <w:bookmarkStart w:name="637604421" w:id="29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818.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w:t>
      </w:r>
    </w:p>
    <w:bookmarkEnd w:id="2966"/>
    <w:bookmarkStart w:name="637604422" w:id="29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Средства телемеханики применяются также для телепередачи сигналов систем АРЧМ, противоаварийной автоматики и других системных устройств регулирования и управления.</w:t>
      </w:r>
    </w:p>
    <w:bookmarkEnd w:id="2967"/>
    <w:bookmarkStart w:name="637604423" w:id="29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819.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также для контроля за выполнением распоряжений по производству переключении (плановых, ремонтных, оперативных) или ведению режимов эксплуатационным персоналом.</w:t>
      </w:r>
    </w:p>
    <w:bookmarkEnd w:id="2968"/>
    <w:bookmarkStart w:name="637604424" w:id="29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электроустановок без постоянного дежурства персонала объем телемеханизации должен обеспечивать необходимый контроль за состоянием оборудования ПС. На ПС 35 кВ и ниже допускается применение простейшей телесигнализации (аварийно-предупредительная телесигнализация на два или более сигналов).</w:t>
      </w:r>
    </w:p>
    <w:bookmarkEnd w:id="2969"/>
    <w:bookmarkStart w:name="637604425" w:id="29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820. Телеуправление в составе автоматизированных систем управления предприятием должно предусматриваться в объеме, необходимом для решения задач по установлению надежных и экономически выгодных режимов работы электроустановок, работающих в сложных сетях.</w:t>
      </w:r>
    </w:p>
    <w:bookmarkEnd w:id="2970"/>
    <w:bookmarkStart w:name="637604426" w:id="29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Телеуправление должно применяться на объектах без постоянного дежурства персонала. При применении его на объектах с постоянным дежурным персоналом необходимо определять условия приоритета.</w:t>
      </w:r>
    </w:p>
    <w:bookmarkEnd w:id="2971"/>
    <w:bookmarkStart w:name="637604427" w:id="29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переключении на месте (с выездом или вызовом оперативного персонала).</w:t>
      </w:r>
    </w:p>
    <w:bookmarkEnd w:id="2972"/>
    <w:bookmarkStart w:name="637604428" w:id="29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использовании телеуправления в составе автоматизированной системы управления предприятием, необходимо учитывать следующее телеуправление обеспечивает более гибкое и оперативное управление ПС в отличие от локальной автоматизации.</w:t>
      </w:r>
    </w:p>
    <w:bookmarkEnd w:id="2973"/>
    <w:bookmarkStart w:name="637604429" w:id="29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821. Телесигнализация должна предусматриваться:</w:t>
      </w:r>
    </w:p>
    <w:bookmarkEnd w:id="2974"/>
    <w:bookmarkStart w:name="637604430" w:id="29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отображения на диспетчерских пунктах положения и состояния основного коммутационного оборудования тех электроустановок, которые находятся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p>
    <w:bookmarkEnd w:id="2975"/>
    <w:bookmarkStart w:name="637604431" w:id="29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ввода информации в диспетчерские информационные системы;</w:t>
      </w:r>
    </w:p>
    <w:bookmarkEnd w:id="2976"/>
    <w:bookmarkStart w:name="637604432" w:id="29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передачи аварийных и предупредительных сигналов.</w:t>
      </w:r>
    </w:p>
    <w:bookmarkEnd w:id="2977"/>
    <w:bookmarkStart w:name="637604433" w:id="29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Телесигнализация с электроустановок, которые находятся в оперативном управлении нескольких диспетчерских пунктов, должна передаваться на вышестоящий диспетчерский пункт путем ретрансляции или отбора с нижестоящего диспетчерского пункта.</w:t>
      </w:r>
    </w:p>
    <w:bookmarkEnd w:id="2978"/>
    <w:bookmarkStart w:name="637604434" w:id="29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2979"/>
    <w:bookmarkStart w:name="637604435" w:id="29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телесигнализации состояния или положения оборудования электроустановок должен использоваться в качестве датчика один вспомогательный контакт или контакт реле-повторителя.</w:t>
      </w:r>
    </w:p>
    <w:bookmarkEnd w:id="2980"/>
    <w:bookmarkStart w:name="637604436" w:id="29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822.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p>
    <w:bookmarkEnd w:id="2981"/>
    <w:bookmarkStart w:name="637604437" w:id="29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непрерывными.</w:t>
      </w:r>
    </w:p>
    <w:bookmarkEnd w:id="2982"/>
    <w:bookmarkStart w:name="637604438" w:id="29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bookmarkEnd w:id="2983"/>
    <w:bookmarkStart w:name="637604439" w:id="29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Телеизмерения параметров, не требующих постоянного контроля (на линиях и шинах 10 кВ и ниже), должны осуществляться периодически или по вызову.</w:t>
      </w:r>
    </w:p>
    <w:bookmarkEnd w:id="2984"/>
    <w:bookmarkStart w:name="637604440" w:id="29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телеизмерений должна учитываться необходимость местного отсчета параметров на контролируемых пунктах.</w:t>
      </w:r>
    </w:p>
    <w:bookmarkEnd w:id="2985"/>
    <w:bookmarkStart w:name="637604441" w:id="29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823.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p>
    <w:bookmarkEnd w:id="2986"/>
    <w:bookmarkStart w:name="637604442" w:id="29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должен иметь дублированный (независимый) канал телемеханики.</w:t>
      </w:r>
    </w:p>
    <w:bookmarkEnd w:id="2987"/>
    <w:bookmarkStart w:name="637604443" w:id="29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p>
    <w:bookmarkEnd w:id="2988"/>
    <w:bookmarkStart w:name="637604444" w:id="29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824.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водо-, тепло- и воздухоснабжения и уличного освещения, контроля и управления производственными процессами.</w:t>
      </w:r>
    </w:p>
    <w:bookmarkEnd w:id="2989"/>
    <w:bookmarkStart w:name="637604445" w:id="29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825. Для крупных подстанций и электрических 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p>
    <w:bookmarkEnd w:id="2990"/>
    <w:bookmarkStart w:name="637604446" w:id="29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826. При совместном применении различных систем телемеханики на одном диспетчерском пункте операции, производимые диспетчером, должны быть одинаковыми.</w:t>
      </w:r>
    </w:p>
    <w:bookmarkEnd w:id="2991"/>
    <w:bookmarkStart w:name="637604447" w:id="29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827. При применении устройств телемеханики должна быть предусмотрена возможность отключения на месте:</w:t>
      </w:r>
    </w:p>
    <w:bookmarkEnd w:id="2992"/>
    <w:bookmarkStart w:name="637604448" w:id="29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одновременно всех цепей телеуправления и телесигнализации при помощи устройств, образующих видимый разрыв цепи;</w:t>
      </w:r>
    </w:p>
    <w:bookmarkEnd w:id="2993"/>
    <w:bookmarkStart w:name="637604449" w:id="29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p>
    <w:bookmarkEnd w:id="2994"/>
    <w:bookmarkStart w:name="637604450" w:id="29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828. Внешние связи устройств телемеханики должны выполняться в соответствии с требованиями главы 15 настоящих Правил.</w:t>
      </w:r>
    </w:p>
    <w:bookmarkEnd w:id="2995"/>
    <w:bookmarkStart w:name="637604451" w:id="29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829.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6 настоящих Правил.</w:t>
      </w:r>
    </w:p>
    <w:bookmarkEnd w:id="2996"/>
    <w:bookmarkStart w:name="637604452" w:id="29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830. В качестве каналов телемеханики используются выделенные каналы,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p>
    <w:bookmarkEnd w:id="2997"/>
    <w:bookmarkStart w:name="637604453" w:id="29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p>
    <w:bookmarkEnd w:id="2998"/>
    <w:bookmarkStart w:name="637604454" w:id="29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831.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p>
    <w:bookmarkEnd w:id="2999"/>
    <w:bookmarkStart w:name="637604455" w:id="30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телеизмерение мощности нескольких параллельных линий электропередачи одного напряжения выполнять как одно телеизмерение суммарной мощности;</w:t>
      </w:r>
    </w:p>
    <w:bookmarkEnd w:id="3000"/>
    <w:bookmarkStart w:name="637604456" w:id="30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p>
    <w:bookmarkEnd w:id="3001"/>
    <w:bookmarkStart w:name="637604457" w:id="30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p>
    <w:bookmarkEnd w:id="3002"/>
    <w:bookmarkStart w:name="637604458" w:id="30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одновременной передачи непрерывных телеизмерений и телесигнализации использовать комплексные устройства телемеханики;</w:t>
      </w:r>
    </w:p>
    <w:bookmarkEnd w:id="3003"/>
    <w:bookmarkStart w:name="637604459" w:id="30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p>
    <w:bookmarkEnd w:id="3004"/>
    <w:bookmarkStart w:name="637604460" w:id="30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p>
    <w:bookmarkEnd w:id="3005"/>
    <w:bookmarkStart w:name="637604461" w:id="30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832.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p>
    <w:bookmarkEnd w:id="3006"/>
    <w:bookmarkStart w:name="637604462" w:id="30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Если резервные источники питания для каких-либо других целей не предусматриваются, то резервирование питания устройств телемеханики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постоянного тока в переменный, двигателя-генератора внутреннего сгорания) совместно с устройствами каналов связи и телемеханики.</w:t>
      </w:r>
    </w:p>
    <w:bookmarkEnd w:id="3007"/>
    <w:bookmarkStart w:name="637604463" w:id="30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p>
    <w:bookmarkEnd w:id="3008"/>
    <w:bookmarkStart w:name="637604464" w:id="30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833. Вся аппаратура и панели телемеханики должны иметь маркировку и устанавливаться в местах, удобных для эксплуатации.</w:t>
      </w:r>
    </w:p>
    <w:bookmarkEnd w:id="3009"/>
    <w:bookmarkStart w:name="637604465" w:id="30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834. Для организации диспетчерского управления и передачи данных между различными уровнями диспетчерских пунктов и подстанциями согласно действующей структуре управления энергосистемой необходимо организовывать диспетчерские каналы связи и выделенные каналы передачи данных с соответствующими техническими характеристиками.</w:t>
      </w:r>
    </w:p>
    <w:bookmarkEnd w:id="3010"/>
    <w:bookmarkStart w:name="637604466" w:id="30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Необходимо организовывать не менее двух каналов связи для передачи данных в следующих случаях:</w:t>
      </w:r>
    </w:p>
    <w:bookmarkEnd w:id="3011"/>
    <w:bookmarkStart w:name="637604467" w:id="30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каналы с Центром диспетчерского управления единой электроэнергетической системы Республики Казахстан;</w:t>
      </w:r>
    </w:p>
    <w:bookmarkEnd w:id="3012"/>
    <w:bookmarkStart w:name="637604468" w:id="30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каналы с диспетчерским центром рыночного оператора электрической мощности и энергии Республики Казахстан;</w:t>
      </w:r>
    </w:p>
    <w:bookmarkEnd w:id="3013"/>
    <w:bookmarkStart w:name="637604469" w:id="30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каналы между энергосистемами (национального и регионального значения);</w:t>
      </w:r>
    </w:p>
    <w:bookmarkEnd w:id="3014"/>
    <w:bookmarkStart w:name="637604470" w:id="30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каналы с ПС 220 кВ и выше;</w:t>
      </w:r>
    </w:p>
    <w:bookmarkEnd w:id="3015"/>
    <w:bookmarkStart w:name="637604471" w:id="30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каналы с ПС 110 кВ системного назначения;</w:t>
      </w:r>
    </w:p>
    <w:bookmarkEnd w:id="3016"/>
    <w:bookmarkStart w:name="637604472" w:id="30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каналы с производителем электроэнергии свыше 10 МВт;</w:t>
      </w:r>
    </w:p>
    <w:bookmarkEnd w:id="3017"/>
    <w:bookmarkStart w:name="637604473" w:id="30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каналы с потребителем электроэнергии с мощностью более 5 МВт;</w:t>
      </w:r>
    </w:p>
    <w:bookmarkEnd w:id="3018"/>
    <w:bookmarkStart w:name="637604474" w:id="30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каналы с энергоцентрами потребителей электроэнергии, чьи линии электропередачи имеют системное значение;</w:t>
      </w:r>
    </w:p>
    <w:bookmarkEnd w:id="3019"/>
    <w:bookmarkStart w:name="637604475" w:id="30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каналы с ПС 110кВ не системного назначения (тупиковые), с суммарной нагрузкой менее 5 МВт;</w:t>
      </w:r>
    </w:p>
    <w:bookmarkEnd w:id="3020"/>
    <w:bookmarkStart w:name="637604476" w:id="30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каналы с ПС 35 кВ и ниже;</w:t>
      </w:r>
    </w:p>
    <w:bookmarkEnd w:id="3021"/>
    <w:bookmarkStart w:name="637604477" w:id="30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каналы с производителем электроэнергии ниже 10 МВт;</w:t>
      </w:r>
    </w:p>
    <w:bookmarkEnd w:id="3022"/>
    <w:bookmarkStart w:name="637604478" w:id="30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 каналы с потребителем электроэнергии с мощностью менее 5 МВт;</w:t>
      </w:r>
    </w:p>
    <w:bookmarkEnd w:id="3023"/>
    <w:bookmarkStart w:name="637604479" w:id="30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каналы с энергоцентрами потребителей электроэнергии, чьи линии электропередачи не имеют системного значения.</w:t>
      </w:r>
    </w:p>
    <w:bookmarkEnd w:id="3024"/>
    <w:bookmarkStart w:name="637604480" w:id="30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необходимости организуются резервные каналы средствами радио и спутниковой связи.</w:t>
      </w:r>
    </w:p>
    <w:bookmarkEnd w:id="3025"/>
    <w:bookmarkStart w:name="637604481" w:id="30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Окончательное решение должно определяться в зависимости от требований по обеспечению надежности энергоснабжения.</w:t>
      </w:r>
    </w:p>
    <w:bookmarkEnd w:id="3026"/>
    <w:bookmarkStart w:name="637604482" w:id="30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Возможна организация канала средствами радио и спутниковой связи.</w:t>
      </w:r>
    </w:p>
    <w:bookmarkEnd w:id="3027"/>
    <w:bookmarkStart w:name="637604483" w:id="3028"/>
    <w:p>
      <w:pPr>
        <w:spacing w:before="120" w:after="120" w:line="240"/>
        <w:ind w:left="0"/>
        <w:jc w:val="center"/>
      </w:pPr>
      <w:r>
        <w:rPr>
          <w:rFonts w:hint="default" w:ascii="Times New Roman" w:hAnsi="Times New Roman"/>
          <w:b/>
          <w:i w:val="false"/>
          <w:color w:val="000000"/>
          <w:sz w:val="24"/>
        </w:rPr>
        <w:t>Параграф 15. Вторичные цепи</w:t>
      </w:r>
    </w:p>
    <w:bookmarkEnd w:id="3028"/>
    <w:bookmarkStart w:name="637604484" w:id="30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835. Настоящая глава Правил распространяется на вторичные цепи (цепи управления, сигнализации, контроля, автоматики и релейной защиты) электроустановок.</w:t>
      </w:r>
    </w:p>
    <w:bookmarkEnd w:id="3029"/>
    <w:bookmarkStart w:name="637604485" w:id="30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836.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p>
    <w:bookmarkEnd w:id="3030"/>
    <w:bookmarkStart w:name="637604486" w:id="30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837. На электростанциях и подстанциях для вторичных цепей применяются контрольные кабели с алюминиевыми жилами из полутвердого алюминия. Контрольные кабели с медными жилами применяются только во вторичных цепях:</w:t>
      </w:r>
    </w:p>
    <w:bookmarkEnd w:id="3031"/>
    <w:bookmarkStart w:name="637604487" w:id="30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применяются контрольные кабели с алюминиевыми жилами;</w:t>
      </w:r>
    </w:p>
    <w:bookmarkEnd w:id="3032"/>
    <w:bookmarkStart w:name="637604488" w:id="30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подстанций с высшим напряжением 330 кВ и выше, а также подстанций, включаемых в межсистемные транзитные линии электропередачи;</w:t>
      </w:r>
    </w:p>
    <w:bookmarkEnd w:id="3033"/>
    <w:bookmarkStart w:name="637604489" w:id="30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дифференциальных защит шин и устройств резервирования отказа выключателей 110–220 кВ, а также средств системной противоаварийной автоматики;</w:t>
      </w:r>
    </w:p>
    <w:bookmarkEnd w:id="3034"/>
    <w:bookmarkStart w:name="637604490" w:id="30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технологических защит тепловых электростанций;</w:t>
      </w:r>
    </w:p>
    <w:bookmarkEnd w:id="3035"/>
    <w:bookmarkStart w:name="637604491" w:id="30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 рабочим напряжением не выше 60 В при диаметре жил кабелей и проводов до 1 мм;</w:t>
      </w:r>
    </w:p>
    <w:bookmarkEnd w:id="3036"/>
    <w:bookmarkStart w:name="637604492" w:id="30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размещаемых во взрывоопасных зонах классов B-I и В-Iа электростанций и подстанций;</w:t>
      </w:r>
    </w:p>
    <w:bookmarkEnd w:id="3037"/>
    <w:bookmarkStart w:name="637604493" w:id="30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в электроустановках или их частях, размещаемых на почвах, которые обладают агрессивным воздействием на алюминий жил контрольных кабелей.</w:t>
      </w:r>
    </w:p>
    <w:bookmarkEnd w:id="3038"/>
    <w:bookmarkStart w:name="637604494" w:id="30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промышленных предприятиях для вторичных цепей применяются контрольные кабели с алюмомедными или алюминиевыми жилами из полутвердого алюминия. Контрольные кабели с медными жилами применяются только во вторичных цепях, размещаемых во взрывоопасных зонах классов B-I и В-Iа,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w:t>
      </w:r>
    </w:p>
    <w:bookmarkEnd w:id="3039"/>
    <w:bookmarkStart w:name="637604495" w:id="30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838. По условию механической прочности:</w:t>
      </w:r>
    </w:p>
    <w:bookmarkEnd w:id="3040"/>
    <w:bookmarkStart w:name="637604496" w:id="3041"/>
    <w:p>
      <w:pPr>
        <w:spacing w:before="120" w:after="120" w:line="240"/>
        <w:ind w:left="0"/>
        <w:jc w:val="both"/>
      </w:pPr>
      <w:r>
        <w:rPr>
          <w:rFonts w:hint="default" w:ascii="Times New Roman" w:hAnsi="Times New Roman"/>
          <w:b w:val="false"/>
          <w:i w:val="false"/>
          <w:color w:val="000000"/>
          <w:sz w:val="24"/>
        </w:rPr>
        <w:t>1) жилы контрольных кабелей для присоединения под винт к зажимам панелей и аппаратов должны иметь сечения не менее 1,5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(а при применении специальных зажимов – не менее 1,0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для меди и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алюминия; для токовых цепей – 2,5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меди и 4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3041"/>
    <w:bookmarkStart w:name="637604497" w:id="3042"/>
    <w:p>
      <w:pPr>
        <w:spacing w:before="120" w:after="120" w:line="240"/>
        <w:ind w:left="0"/>
        <w:jc w:val="both"/>
      </w:pPr>
      <w:r>
        <w:rPr>
          <w:rFonts w:hint="default" w:ascii="Times New Roman" w:hAnsi="Times New Roman"/>
          <w:b w:val="false"/>
          <w:i w:val="false"/>
          <w:color w:val="000000"/>
          <w:sz w:val="24"/>
        </w:rPr>
        <w:t>2) в цепях с рабочим напряжением 100 В и выше сечение медных жил кабелей, присоединяемых пайкой, должно быть не менее 0,5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3042"/>
    <w:bookmarkStart w:name="637604498" w:id="30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присоединяются к зажимам под винт.</w:t>
      </w:r>
    </w:p>
    <w:bookmarkEnd w:id="3043"/>
    <w:bookmarkStart w:name="637604499" w:id="30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а также к панелям и аппаратам, подверженным вибрации, выполняется гибкими (многопроволочными) жилами.</w:t>
      </w:r>
    </w:p>
    <w:bookmarkEnd w:id="3044"/>
    <w:bookmarkStart w:name="637604500" w:id="30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839. Сечение жил кабелей и проводов должно удовлетворять требованиям их защиты от КЗ без выдержки времени, допустимых длительных токов согласно главы 3 настоящих Правил,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p>
    <w:bookmarkEnd w:id="3045"/>
    <w:bookmarkStart w:name="637604501" w:id="30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трансформаторы тока совместно с электрическими цепями должны работать в классе точности:</w:t>
      </w:r>
    </w:p>
    <w:bookmarkEnd w:id="3046"/>
    <w:bookmarkStart w:name="637604502" w:id="30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счетчиков коммерческого учета – по главе 5 настоящих Правил;</w:t>
      </w:r>
    </w:p>
    <w:bookmarkEnd w:id="3047"/>
    <w:bookmarkStart w:name="637604503" w:id="30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измерительных преобразователей мощности, используемых для ввода информации в вычислительные устройства, – по главе 5 настоящих Правил, как для счетчиков технического учета;</w:t>
      </w:r>
    </w:p>
    <w:bookmarkEnd w:id="3048"/>
    <w:bookmarkStart w:name="637604504" w:id="30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щитовых приборов и измерительных преобразователей тока и мощности, используемых для всех видов измерений, – не ниже класса точности 3;</w:t>
      </w:r>
    </w:p>
    <w:bookmarkEnd w:id="3049"/>
    <w:bookmarkStart w:name="637604505" w:id="30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 в пределах 10%-ной погрешности;</w:t>
      </w:r>
    </w:p>
    <w:bookmarkEnd w:id="3050"/>
    <w:bookmarkStart w:name="637604506" w:id="30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цепей напряжения потери напряжения от трансформатора напряжения при условии включения всех защит и приборов должны составлять до:</w:t>
      </w:r>
    </w:p>
    <w:bookmarkEnd w:id="3051"/>
    <w:bookmarkStart w:name="637604507" w:id="30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счетчиков коммерческого учета и измерительных преобразователей мощности, используемых для ввода информации в вычислительные устройства, – не более 0,5 %;</w:t>
      </w:r>
    </w:p>
    <w:bookmarkEnd w:id="3052"/>
    <w:bookmarkStart w:name="637604508" w:id="30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счетчиков коммерческого учета межгосударственных, межсистемных линий электропередачи и линий напряжением 500 кВ и выше – не более 0,2 %;</w:t>
      </w:r>
    </w:p>
    <w:bookmarkEnd w:id="3053"/>
    <w:bookmarkStart w:name="637604509" w:id="30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счетчиков технического учета – не более 0,5 %;</w:t>
      </w:r>
    </w:p>
    <w:bookmarkEnd w:id="3054"/>
    <w:bookmarkStart w:name="637604510" w:id="30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щитовых приборов и датчиков мощности, используемых для всех видов измерений, – не более 1,5 %;</w:t>
      </w:r>
    </w:p>
    <w:bookmarkEnd w:id="3055"/>
    <w:bookmarkStart w:name="637604511" w:id="30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панелей защиты и автоматики – не более 3 %.</w:t>
      </w:r>
    </w:p>
    <w:bookmarkEnd w:id="3056"/>
    <w:bookmarkStart w:name="637604512" w:id="30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совместном питании указанных нагрузок по общим жилам их сечение должно быть выбрано по минимальной из допустимых норм потери напряжения;</w:t>
      </w:r>
    </w:p>
    <w:bookmarkEnd w:id="3057"/>
    <w:bookmarkStart w:name="637604513" w:id="30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цепей оперативного тока потери напряжения от источника питания должны составлять до:</w:t>
      </w:r>
    </w:p>
    <w:bookmarkEnd w:id="3058"/>
    <w:bookmarkStart w:name="637604514" w:id="30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панели устройства или до электромагнитов управления, не имеющих форсировки – не более 10 % при наибольшем токе нагрузки;</w:t>
      </w:r>
    </w:p>
    <w:bookmarkEnd w:id="3059"/>
    <w:bookmarkStart w:name="637604515" w:id="30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электромагнитов управления, имеющих трехкратную и большую форсировку, – не более 25 % при форсировочном значении тока;</w:t>
      </w:r>
    </w:p>
    <w:bookmarkEnd w:id="3060"/>
    <w:bookmarkStart w:name="637604516" w:id="30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цепей напряжения устройств АРВ потеря напряжения от трансформатора напряжения до измерительного органа должна составлять не более 1 %.</w:t>
      </w:r>
    </w:p>
    <w:bookmarkEnd w:id="3061"/>
    <w:bookmarkStart w:name="637604517" w:id="30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840. В одном контрольном кабеле допускается объединение цепей управления, измерения, защиты и сигнализации постоянного и переменного тока, а также силовых цепей, питающих электроприемники с током не более 5 А.</w:t>
      </w:r>
    </w:p>
    <w:bookmarkEnd w:id="3062"/>
    <w:bookmarkStart w:name="637604518" w:id="30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p>
    <w:bookmarkEnd w:id="3063"/>
    <w:bookmarkStart w:name="637604519" w:id="30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общих кабелей для цепей разных присоединений, за исключением взаимно резервируемых.</w:t>
      </w:r>
    </w:p>
    <w:bookmarkEnd w:id="3064"/>
    <w:bookmarkStart w:name="637604520" w:id="30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841. Кабели, присоединяются к сборкам зажимов. Присоединение двух медных жил кабеля под один винт и двух алюминиевых жил не допускается.</w:t>
      </w:r>
    </w:p>
    <w:bookmarkEnd w:id="3065"/>
    <w:bookmarkStart w:name="637604521" w:id="30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выводам измерительных трансформаторов или отдельным аппаратам кабели допускается присоединять непосредственно.</w:t>
      </w:r>
    </w:p>
    <w:bookmarkEnd w:id="3066"/>
    <w:bookmarkStart w:name="637604522" w:id="30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Исполнение зажимов должно соответствовать материалу и сечению жил кабелей.</w:t>
      </w:r>
    </w:p>
    <w:bookmarkEnd w:id="3067"/>
    <w:bookmarkStart w:name="637604523" w:id="30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842.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осуществляется с установкой герметичных муфт.</w:t>
      </w:r>
    </w:p>
    <w:bookmarkEnd w:id="3068"/>
    <w:bookmarkStart w:name="637604524" w:id="30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с неметаллической оболочкой или с алюминиевыми жилами соединяются на промежуточных рядах зажимов или с помощью специальных муфт, предназначенных для данного типа кабелей.</w:t>
      </w:r>
    </w:p>
    <w:bookmarkEnd w:id="3069"/>
    <w:bookmarkStart w:name="637604525" w:id="30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843. Кабели вторичных цепей, жилы кабелей и провода, присоединяемые к сборкам зажимов или аппаратам, должны иметь маркировку.</w:t>
      </w:r>
    </w:p>
    <w:bookmarkEnd w:id="3070"/>
    <w:bookmarkStart w:name="637604526" w:id="30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844. Типы проводов и кабелей для вторичных цепей, способы их прокладки и защиты выбираются с учетом требований глав 10 и 15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может подвергаться воздействию масел и других агрессивных сред, применяются специальные провода и кабели.</w:t>
      </w:r>
    </w:p>
    <w:bookmarkEnd w:id="3071"/>
    <w:bookmarkStart w:name="637604527" w:id="30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Провода и жилы кабеля, имеющие несветостойкую изоляцию, должны быть защищены от воздействия света.</w:t>
      </w:r>
    </w:p>
    <w:bookmarkEnd w:id="3072"/>
    <w:bookmarkStart w:name="637604528" w:id="30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845.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прокладывается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p>
    <w:bookmarkEnd w:id="3073"/>
    <w:bookmarkStart w:name="637604529" w:id="30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846. Монтаж цепей постоянного и переменного тока в пределах щитовых устройств (панели, пульты, шкафы, ящики),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 для:</w:t>
      </w:r>
    </w:p>
    <w:bookmarkEnd w:id="3074"/>
    <w:bookmarkStart w:name="637604530" w:id="3075"/>
    <w:p>
      <w:pPr>
        <w:spacing w:before="120" w:after="120" w:line="240"/>
        <w:ind w:left="0"/>
        <w:jc w:val="both"/>
      </w:pPr>
      <w:r>
        <w:rPr>
          <w:rFonts w:hint="default" w:ascii="Times New Roman" w:hAnsi="Times New Roman"/>
          <w:b w:val="false"/>
          <w:i w:val="false"/>
          <w:color w:val="000000"/>
          <w:sz w:val="24"/>
        </w:rPr>
        <w:t>1) однопроволочных жил, присоединяемых винтовыми зажимами, 1,5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3075"/>
    <w:bookmarkStart w:name="637604531" w:id="3076"/>
    <w:p>
      <w:pPr>
        <w:spacing w:before="120" w:after="120" w:line="240"/>
        <w:ind w:left="0"/>
        <w:jc w:val="both"/>
      </w:pPr>
      <w:r>
        <w:rPr>
          <w:rFonts w:hint="default" w:ascii="Times New Roman" w:hAnsi="Times New Roman"/>
          <w:b w:val="false"/>
          <w:i w:val="false"/>
          <w:color w:val="000000"/>
          <w:sz w:val="24"/>
        </w:rPr>
        <w:t>2) однопроволочных жил, присоединяемых пайкой, 0,5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3076"/>
    <w:bookmarkStart w:name="637604532" w:id="3077"/>
    <w:p>
      <w:pPr>
        <w:spacing w:before="120" w:after="120" w:line="240"/>
        <w:ind w:left="0"/>
        <w:jc w:val="both"/>
      </w:pPr>
      <w:r>
        <w:rPr>
          <w:rFonts w:hint="default" w:ascii="Times New Roman" w:hAnsi="Times New Roman"/>
          <w:b w:val="false"/>
          <w:i w:val="false"/>
          <w:color w:val="000000"/>
          <w:sz w:val="24"/>
        </w:rPr>
        <w:t>3) многопроволочных жил, присоединяемых пайкой или под винт с помощью специальных наконечников, 0,35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в технически обоснованных случаях допускается применение проводов с многопроволочными медными жилами, присоединяемыми пайкой, сечением менее 0,35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но не менее 0,2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3077"/>
    <w:bookmarkStart w:name="637604533" w:id="3078"/>
    <w:p>
      <w:pPr>
        <w:spacing w:before="120" w:after="120" w:line="240"/>
        <w:ind w:left="0"/>
        <w:jc w:val="both"/>
      </w:pPr>
      <w:r>
        <w:rPr>
          <w:rFonts w:hint="default" w:ascii="Times New Roman" w:hAnsi="Times New Roman"/>
          <w:b w:val="false"/>
          <w:i w:val="false"/>
          <w:color w:val="000000"/>
          <w:sz w:val="24"/>
        </w:rPr>
        <w:t>4) жил, присоединяемых пайкой в цепях напряжением не выше 60 В (диспетчерские щиты и пульты, устройства телемеханики), – 0,197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(диаметр – не менее 0,5 мм).</w:t>
      </w:r>
    </w:p>
    <w:bookmarkEnd w:id="3078"/>
    <w:bookmarkStart w:name="637604534" w:id="30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выполняются гибкими (многопроволочными) жилами.</w:t>
      </w:r>
    </w:p>
    <w:bookmarkEnd w:id="3079"/>
    <w:bookmarkStart w:name="637604535" w:id="30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Механические нагрузки на места пайки проводов не допускаются.</w:t>
      </w:r>
    </w:p>
    <w:bookmarkEnd w:id="3080"/>
    <w:bookmarkStart w:name="637604536" w:id="3081"/>
    <w:p>
      <w:pPr>
        <w:spacing w:before="120" w:after="120" w:line="240"/>
        <w:ind w:left="0"/>
        <w:jc w:val="both"/>
      </w:pPr>
      <w:r>
        <w:rPr>
          <w:rFonts w:hint="default" w:ascii="Times New Roman" w:hAnsi="Times New Roman"/>
          <w:b w:val="false"/>
          <w:i w:val="false"/>
          <w:color w:val="000000"/>
          <w:sz w:val="24"/>
        </w:rPr>
        <w:t>Для переходов на дверцы устройств должны быть применены многопроволочные провода сечением не менее 0,5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допускается также применение проводов с однопроволочными жилами сечением не менее 1,5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при условии, что жгут проводов работает только на кручение.</w:t>
      </w:r>
    </w:p>
    <w:bookmarkEnd w:id="3081"/>
    <w:bookmarkStart w:name="637604537" w:id="30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главы 3 настоящих Правил, а для цепей, идущих от трансформаторов тока, кроме того, и термической стойкостью. Для монтажа применяются провода и кабели с изоляцией, не поддерживающей горение.</w:t>
      </w:r>
    </w:p>
    <w:bookmarkEnd w:id="3082"/>
    <w:bookmarkStart w:name="637604538" w:id="30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проводов и кабелей с алюминиевыми жилами для внутреннего монтажа щитовых устройств не допускается.</w:t>
      </w:r>
    </w:p>
    <w:bookmarkEnd w:id="3083"/>
    <w:bookmarkStart w:name="637604539" w:id="30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847. Соединения аппаратов между собой в пределах одной панели выполняютя, непосредственно без выведения соединяющих проводов на промежуточные зажимы.</w:t>
      </w:r>
    </w:p>
    <w:bookmarkEnd w:id="3084"/>
    <w:bookmarkStart w:name="637604540" w:id="30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зажимы или испытательные блоки должны быть выведены цепи, в которые требуется включать испытательные и проверочные аппараты и приборы. Также выводятся на ряд зажимов цепи, переключение которых требуется для изменения режима работы устройства.</w:t>
      </w:r>
    </w:p>
    <w:bookmarkEnd w:id="3085"/>
    <w:bookmarkStart w:name="637604541" w:id="30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848. Промежуточные зажимы устанавливаются только там, где:</w:t>
      </w:r>
    </w:p>
    <w:bookmarkEnd w:id="3086"/>
    <w:bookmarkStart w:name="637604542" w:id="30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провод переходит в кабель;</w:t>
      </w:r>
    </w:p>
    <w:bookmarkEnd w:id="3087"/>
    <w:bookmarkStart w:name="637604543" w:id="30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объединяются одноименные цепи (сборка зажимов цепей отключения, цепей напряжения);</w:t>
      </w:r>
    </w:p>
    <w:bookmarkEnd w:id="3088"/>
    <w:bookmarkStart w:name="637604544" w:id="30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требуется включать переносные испытательные и измерительные аппараты, если нет испытательных блоков или аналогичных устройств;</w:t>
      </w:r>
    </w:p>
    <w:bookmarkEnd w:id="3089"/>
    <w:bookmarkStart w:name="637604545" w:id="30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несколько кабелей переходит в один кабель или перераспределяются цепи различных кабелей.</w:t>
      </w:r>
    </w:p>
    <w:bookmarkEnd w:id="3090"/>
    <w:bookmarkStart w:name="637604546" w:id="30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849. Зажимы, относящиеся к разным присоединениям или устройствам, должны быть выделены в отдельные сборки зажимов.</w:t>
      </w:r>
    </w:p>
    <w:bookmarkEnd w:id="3091"/>
    <w:bookmarkStart w:name="637604547" w:id="30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рядах зажимов не должны находиться в непосредственной близости один от другого зажимы, случайное соединение которых может вызвать включение или отключение присоединения или КЗ в цепях оперативного тока или в цепях возбуждения.</w:t>
      </w:r>
    </w:p>
    <w:bookmarkEnd w:id="3092"/>
    <w:bookmarkStart w:name="637604548" w:id="30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осуществляются через отдельные зажимы сборки зажимов при этом, соединения по панели указанных цепей выполняются независимо для каждого вида защит.</w:t>
      </w:r>
    </w:p>
    <w:bookmarkEnd w:id="3093"/>
    <w:bookmarkStart w:name="637604549" w:id="30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850. Для проведения эксплуатационных проверок и испытаний в цепях защиты и автоматики предусматриваются испытательные блоки или измерительные зажимы, обеспечивающие (за исключением случаев, оговоренных в пункте 840 настоящих Правил) без отсоединения проводов и кабелей отключение от источника оперативного тока, 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bookmarkEnd w:id="3094"/>
    <w:bookmarkStart w:name="637604550" w:id="30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p>
    <w:bookmarkEnd w:id="3095"/>
    <w:bookmarkStart w:name="637604551" w:id="30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851.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p>
    <w:bookmarkEnd w:id="3096"/>
    <w:bookmarkStart w:name="637604552" w:id="30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852.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p>
    <w:bookmarkEnd w:id="3097"/>
    <w:bookmarkStart w:name="637604553" w:id="30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Контроль изоляции цепей оперативного постоянного и переменного тока предусматривается на каждом независимом источнике (включая разделительные трансформаторы), не имеющем заземления.</w:t>
      </w:r>
    </w:p>
    <w:bookmarkEnd w:id="3098"/>
    <w:bookmarkStart w:name="637604554" w:id="30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p>
    <w:bookmarkEnd w:id="3099"/>
    <w:bookmarkStart w:name="637604555" w:id="3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853. Питание оперативным током вторичных цепей каждого присоединения осуществляется через отдельные предохранители или автоматические выключатели (применение последних предпочтительно).</w:t>
      </w:r>
    </w:p>
    <w:bookmarkEnd w:id="3100"/>
    <w:bookmarkStart w:name="637604556" w:id="3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Питание оперативным током цепей релейной защиты и управления выключателями каждого присоединения должно предусматриваться, через отдельные автоматические выключатели или предохранители, не связанные с другими цепями (сигнализация, электромагнитная блокировка). Допускается совместное питание цепей управления и ламп сигнализации положения управляемого аппарата.</w:t>
      </w:r>
    </w:p>
    <w:bookmarkEnd w:id="3101"/>
    <w:bookmarkStart w:name="637604557" w:id="3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присоединений напряжением 110 кВ и выше, для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p>
    <w:bookmarkEnd w:id="3102"/>
    <w:bookmarkStart w:name="637604558" w:id="31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p>
    <w:bookmarkEnd w:id="3103"/>
    <w:bookmarkStart w:name="637604559" w:id="3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854.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 или устройств контроля состояния микропроцессорных приборов защиты и автоматики.</w:t>
      </w:r>
    </w:p>
    <w:bookmarkEnd w:id="3104"/>
    <w:bookmarkStart w:name="637604560" w:id="31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менее ответственных устройств контроль питания может осуществляться подачей сигнала об отключенном положении автоматического выключателя в цепи оперативного тока.</w:t>
      </w:r>
    </w:p>
    <w:bookmarkEnd w:id="3105"/>
    <w:bookmarkStart w:name="637604561" w:id="3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p>
    <w:bookmarkEnd w:id="3106"/>
    <w:bookmarkStart w:name="637604562" w:id="3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параметры цепей включения привода не обеспечивают возможность контроля исправности этой цепи, контроль не выполняется.</w:t>
      </w:r>
    </w:p>
    <w:bookmarkEnd w:id="3107"/>
    <w:bookmarkStart w:name="637604563" w:id="3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855. В электроустановках, должна быть обеспечена автоматическая подача сигнала о нарушении нормального режима работы и о возникновении каких-либо неисправностей.</w:t>
      </w:r>
    </w:p>
    <w:bookmarkEnd w:id="3108"/>
    <w:bookmarkStart w:name="637604564" w:id="31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Проверка исправности этой сигнализации должна быть предусмотрена периодическим ее опробованием.</w:t>
      </w:r>
    </w:p>
    <w:bookmarkEnd w:id="3109"/>
    <w:bookmarkStart w:name="637604565" w:id="3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электроустановках, работающих без постоянного дежурства персонала, должна быть обеспечена подача сигнала в пункт нахождения персонала.</w:t>
      </w:r>
    </w:p>
    <w:bookmarkEnd w:id="3110"/>
    <w:bookmarkStart w:name="637604566" w:id="3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856.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p>
    <w:bookmarkEnd w:id="3111"/>
    <w:bookmarkStart w:name="637604567" w:id="31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857. Заземление во вторичных цепях трансформаторов тока предусматривается в одной точке на ближайшей от трансформаторов тока сборке зажимов или на зажимах трансформаторов тока.</w:t>
      </w:r>
    </w:p>
    <w:bookmarkEnd w:id="3112"/>
    <w:bookmarkStart w:name="637604568" w:id="3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bookmarkEnd w:id="3113"/>
    <w:bookmarkStart w:name="637604569" w:id="3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Вторичные обмотки промежуточных разделительных трансформаторов тока допускается не заземлять.</w:t>
      </w:r>
    </w:p>
    <w:bookmarkEnd w:id="3114"/>
    <w:bookmarkStart w:name="637604570" w:id="3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858.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bookmarkEnd w:id="3115"/>
    <w:bookmarkStart w:name="637604571" w:id="3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Заземление вторичных обмоток трансформатора напряжения выполняется, на ближайшей от трансформатора напряжения сборке зажимов или на зажимах трансформатора напряжения.</w:t>
      </w:r>
    </w:p>
    <w:bookmarkEnd w:id="3116"/>
    <w:bookmarkStart w:name="637604572" w:id="3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(релейные щиты распределительных устройств различных напряжений), то эти шинки, не соединяют между собой.</w:t>
      </w:r>
    </w:p>
    <w:bookmarkEnd w:id="3117"/>
    <w:bookmarkStart w:name="637604573" w:id="3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p>
    <w:bookmarkEnd w:id="3118"/>
    <w:bookmarkStart w:name="637604574" w:id="3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859. Трансформаторы напряжения должны быть защищены от КЗ во вторичных цепях автоматическими выключателями. Автоматические выключатели устанавливаются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p>
    <w:bookmarkEnd w:id="3119"/>
    <w:bookmarkStart w:name="637604575" w:id="3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неразветвленных цепей напряжения автоматические выключатели допускается не устанавливать.</w:t>
      </w:r>
    </w:p>
    <w:bookmarkEnd w:id="3120"/>
    <w:bookmarkStart w:name="637604576" w:id="3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вторичных цепях трансформатора напряжения должна быть обеспечена возможность создания видимого разрыва (рубильники, разъемные соединители).</w:t>
      </w:r>
    </w:p>
    <w:bookmarkEnd w:id="3121"/>
    <w:bookmarkStart w:name="637604577" w:id="3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устройств, которыми может быть создан разрыв проводников между трансформатором напряжения и местом заземления его вторичных цепей, не допускается.</w:t>
      </w:r>
    </w:p>
    <w:bookmarkEnd w:id="3122"/>
    <w:bookmarkStart w:name="637604578" w:id="3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860. На трансформаторах напряжения, установленных в сетях с малыми токами замыкания на землю без компенсации емкостных токов (на генераторном напряжении блока генератор – трансформатор, на напряжении собственных нужд электростанций и подстанций), при необходимости предусматривается защита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p>
    <w:bookmarkEnd w:id="3123"/>
    <w:bookmarkStart w:name="637604579" w:id="31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861.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p>
    <w:bookmarkEnd w:id="3124"/>
    <w:bookmarkStart w:name="637604580" w:id="31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выполнение взаимного резервирования между линейными трансформаторами напряжения при достаточной их мощности по вторичной нагрузке.</w:t>
      </w:r>
    </w:p>
    <w:bookmarkEnd w:id="3125"/>
    <w:bookmarkStart w:name="637604581" w:id="31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862. Трансформаторы напряжения должны иметь контроль исправности цепей напряжения.</w:t>
      </w:r>
    </w:p>
    <w:bookmarkEnd w:id="3126"/>
    <w:bookmarkStart w:name="637604582" w:id="3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Релейная защита, цепи которой питаются от трансформаторов напряжения, должна быть оборудована устройствами, указанными в пункте 604 настоящих правил.</w:t>
      </w:r>
    </w:p>
    <w:bookmarkEnd w:id="3127"/>
    <w:bookmarkStart w:name="637604583" w:id="31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Независимо от наличия или отсутствия в цепях защиты указанных устройств должны быть предусмотрены сигналы:</w:t>
      </w:r>
    </w:p>
    <w:bookmarkEnd w:id="3128"/>
    <w:bookmarkStart w:name="637604584" w:id="3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отключении автоматических выключателей – с помощью вспомогательных контактов;</w:t>
      </w:r>
    </w:p>
    <w:bookmarkEnd w:id="3129"/>
    <w:bookmarkStart w:name="637604585" w:id="3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нарушениях работы реле-повторителей шинных разъединителей – с помощью устройств контроля обрыва цепей управления и реле-повторителей;</w:t>
      </w:r>
    </w:p>
    <w:bookmarkEnd w:id="3130"/>
    <w:bookmarkStart w:name="637604586" w:id="3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трансформаторов напряжения, в цепи обмоток высшего напряжения которых установлены предохранители, при нарушении целостности предохранителей – с помощью центральных устройств.</w:t>
      </w:r>
    </w:p>
    <w:bookmarkEnd w:id="3131"/>
    <w:bookmarkStart w:name="637604587" w:id="3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863. Вторичные цепи микропроцессорных (МП) устройств релейной защиты и автоматики, электроизмерительных комплексов и приборов, применяемых в электроустановках (подстанциях) с напряжением 110 кВ и выше, а также на электроустановках (распределительных устройствах) 35 кВ и ниже, электроустановок (подстанций), на которых имеется напряжение 110 кВ и выше, должны выполняться в соответствии с требованиями к подключению указанных устройств заводов-изготовителей.</w:t>
      </w:r>
    </w:p>
    <w:bookmarkEnd w:id="3132"/>
    <w:bookmarkStart w:name="637604588" w:id="3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Указанное относится ко входным цепям тока и напряжения, цепям дискретных входов и выходов и другим цепям МП устройств.</w:t>
      </w:r>
    </w:p>
    <w:bookmarkEnd w:id="3133"/>
    <w:bookmarkStart w:name="637604589" w:id="3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864.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p>
    <w:bookmarkEnd w:id="3134"/>
    <w:bookmarkStart w:name="637604590" w:id="3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865.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сxемам.</w:t>
      </w:r>
    </w:p>
    <w:bookmarkEnd w:id="3135"/>
    <w:bookmarkStart w:name="637604591" w:id="3136"/>
    <w:p>
      <w:pPr>
        <w:spacing w:before="120" w:after="120" w:line="240"/>
        <w:ind w:left="0"/>
        <w:jc w:val="center"/>
      </w:pPr>
      <w:r>
        <w:rPr>
          <w:rFonts w:hint="default" w:ascii="Times New Roman" w:hAnsi="Times New Roman"/>
          <w:b/>
          <w:i w:val="false"/>
          <w:color w:val="000000"/>
          <w:sz w:val="24"/>
        </w:rPr>
        <w:t>Раздел 3. Распределительные устройства и подстанции</w:t>
      </w:r>
    </w:p>
    <w:bookmarkEnd w:id="3136"/>
    <w:bookmarkStart w:name="637604592" w:id="3137"/>
    <w:p>
      <w:pPr>
        <w:spacing w:before="120" w:after="120" w:line="240"/>
        <w:ind w:left="0"/>
        <w:jc w:val="both"/>
      </w:pPr>
      <w:r>
        <w:rPr>
          <w:rFonts w:hint="default" w:ascii="Times New Roman" w:hAnsi="Times New Roman"/>
          <w:b/>
          <w:i w:val="false"/>
          <w:color w:val="000000"/>
          <w:sz w:val="24"/>
        </w:rPr>
        <w:t>15. Распределительные устройства напряжением до 1 кВ переменного тока и до 1,5 кВ постоянного тока</w:t>
      </w:r>
    </w:p>
    <w:bookmarkEnd w:id="3137"/>
    <w:bookmarkStart w:name="637604593" w:id="3138"/>
    <w:p>
      <w:pPr>
        <w:spacing w:before="120" w:after="120" w:line="240"/>
        <w:ind w:left="0"/>
        <w:jc w:val="center"/>
      </w:pPr>
      <w:r>
        <w:rPr>
          <w:rFonts w:hint="default" w:ascii="Times New Roman" w:hAnsi="Times New Roman"/>
          <w:b/>
          <w:i w:val="false"/>
          <w:color w:val="000000"/>
          <w:sz w:val="24"/>
        </w:rPr>
        <w:t>Параграф 1. Область применения</w:t>
      </w:r>
    </w:p>
    <w:bookmarkEnd w:id="3138"/>
    <w:bookmarkStart w:name="637604594" w:id="31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866.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так и по условиям работы при КЗ (термические и динамические воздействия, коммутационная способность).</w:t>
      </w:r>
    </w:p>
    <w:bookmarkEnd w:id="3139"/>
    <w:bookmarkStart w:name="637604595" w:id="3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867. Распределительные устройства должны иметь четкие надписи, указывающие назначение отдельных цепей и панелей.</w:t>
      </w:r>
    </w:p>
    <w:bookmarkEnd w:id="3140"/>
    <w:bookmarkStart w:name="637604596" w:id="3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Надписи должны выполняться на лицевой стороне устройства, а при обслуживании с двух сторон – также на задней стороне устройства, а также согласно требованиями предусмотренных главой 15 настоящих Правил.</w:t>
      </w:r>
    </w:p>
    <w:bookmarkEnd w:id="3141"/>
    <w:bookmarkStart w:name="637604597" w:id="31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868.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bookmarkEnd w:id="3142"/>
    <w:bookmarkStart w:name="637604598" w:id="3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869. Взаимное расположение фаз и полюсов в пределах всего устройства должно быть, одинаковым. Шины должны иметь окраску, предусмотренную в главе 1 настоящих Правил.</w:t>
      </w:r>
    </w:p>
    <w:bookmarkEnd w:id="3143"/>
    <w:bookmarkStart w:name="637604599" w:id="31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РУ должна быть обеспечена возможность установки переносных защитных заземлений.</w:t>
      </w:r>
    </w:p>
    <w:bookmarkEnd w:id="3144"/>
    <w:bookmarkStart w:name="637604600" w:id="3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870. Все металлические части РУ должны быть окрашены или иметь другое антикоррозийное покрытие.</w:t>
      </w:r>
    </w:p>
    <w:bookmarkEnd w:id="3145"/>
    <w:bookmarkStart w:name="637604601" w:id="3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871. Заземление должно быть выполнено в соответствии с главой 7 настоящих Правил.</w:t>
      </w:r>
    </w:p>
    <w:bookmarkEnd w:id="3146"/>
    <w:bookmarkStart w:name="637604602" w:id="3147"/>
    <w:p>
      <w:pPr>
        <w:spacing w:before="120" w:after="120" w:line="240"/>
        <w:ind w:left="0"/>
        <w:jc w:val="center"/>
      </w:pPr>
      <w:r>
        <w:rPr>
          <w:rFonts w:hint="default" w:ascii="Times New Roman" w:hAnsi="Times New Roman"/>
          <w:b/>
          <w:i w:val="false"/>
          <w:color w:val="000000"/>
          <w:sz w:val="24"/>
        </w:rPr>
        <w:t>Параграф 2. Установка приборов аппаратов</w:t>
      </w:r>
    </w:p>
    <w:bookmarkEnd w:id="3147"/>
    <w:bookmarkStart w:name="637604603" w:id="31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872. Аппараты и приборы располагаются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bookmarkEnd w:id="3148"/>
    <w:bookmarkStart w:name="637604604" w:id="31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873.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не должны быть под напряжением.</w:t>
      </w:r>
    </w:p>
    <w:bookmarkEnd w:id="3149"/>
    <w:bookmarkStart w:name="637604605" w:id="3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874.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bookmarkEnd w:id="3150"/>
    <w:bookmarkStart w:name="637604606" w:id="3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875. На приводах коммутационных аппаратов должны быть четко указаны положения «Включено» и «Отключено».</w:t>
      </w:r>
    </w:p>
    <w:bookmarkEnd w:id="3151"/>
    <w:bookmarkStart w:name="637604607" w:id="3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876.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p>
    <w:bookmarkEnd w:id="3152"/>
    <w:bookmarkStart w:name="637604608" w:id="3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Отключающий аппарат перед выключателем каждой отходящей от РУ линии предусматривать не требуется в электроустановках:</w:t>
      </w:r>
    </w:p>
    <w:bookmarkEnd w:id="3153"/>
    <w:bookmarkStart w:name="637604609" w:id="3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 выдвижными выключателями;</w:t>
      </w:r>
    </w:p>
    <w:bookmarkEnd w:id="3154"/>
    <w:bookmarkStart w:name="637604610" w:id="3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bookmarkEnd w:id="3155"/>
    <w:bookmarkStart w:name="637604611" w:id="3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bookmarkEnd w:id="3156"/>
    <w:bookmarkStart w:name="637604612" w:id="31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указанных отключающих аппаратов специальный привод предусматривать не требуется.</w:t>
      </w:r>
    </w:p>
    <w:bookmarkEnd w:id="3157"/>
    <w:bookmarkStart w:name="637604613" w:id="31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877.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p>
    <w:bookmarkEnd w:id="3158"/>
    <w:bookmarkStart w:name="637604614" w:id="3159"/>
    <w:p>
      <w:pPr>
        <w:spacing w:before="120" w:after="120" w:line="240"/>
        <w:ind w:left="0"/>
        <w:jc w:val="center"/>
      </w:pPr>
      <w:r>
        <w:rPr>
          <w:rFonts w:hint="default" w:ascii="Times New Roman" w:hAnsi="Times New Roman"/>
          <w:b/>
          <w:i w:val="false"/>
          <w:color w:val="000000"/>
          <w:sz w:val="24"/>
        </w:rPr>
        <w:t>Параграф 3. Шины, провода, кабели</w:t>
      </w:r>
    </w:p>
    <w:bookmarkEnd w:id="3159"/>
    <w:bookmarkStart w:name="637604615" w:id="31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878.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при сетках и 40 мм при сплошных съемных ограждениях.</w:t>
      </w:r>
    </w:p>
    <w:bookmarkEnd w:id="3160"/>
    <w:bookmarkStart w:name="637604616" w:id="31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879.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прокладываются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главе 3 настоящих Правил.</w:t>
      </w:r>
    </w:p>
    <w:bookmarkEnd w:id="3161"/>
    <w:bookmarkStart w:name="637604617" w:id="3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880. Заземленные неизолированные провода и шины могут быть проложены и без изоляции.</w:t>
      </w:r>
    </w:p>
    <w:bookmarkEnd w:id="3162"/>
    <w:bookmarkStart w:name="637604618" w:id="31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881. Электропроводки цепей управления, измерения должны соответствовать требованиям главе 15 настоящих Правил. Прокладка кабелей должна соответствовать требованиям главы 10 настоящих Правил.</w:t>
      </w:r>
    </w:p>
    <w:bookmarkEnd w:id="3163"/>
    <w:bookmarkStart w:name="637604619" w:id="3164"/>
    <w:p>
      <w:pPr>
        <w:spacing w:before="120" w:after="120" w:line="240"/>
        <w:ind w:left="0"/>
        <w:jc w:val="center"/>
      </w:pPr>
      <w:r>
        <w:rPr>
          <w:rFonts w:hint="default" w:ascii="Times New Roman" w:hAnsi="Times New Roman"/>
          <w:b/>
          <w:i w:val="false"/>
          <w:color w:val="000000"/>
          <w:sz w:val="24"/>
        </w:rPr>
        <w:t>Параграф 4. Кострукции распределительных устройств</w:t>
      </w:r>
    </w:p>
    <w:bookmarkEnd w:id="3164"/>
    <w:bookmarkStart w:name="637604620" w:id="31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882.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пульты управления.</w:t>
      </w:r>
    </w:p>
    <w:bookmarkEnd w:id="3165"/>
    <w:bookmarkStart w:name="637604621" w:id="31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883.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bookmarkEnd w:id="3166"/>
    <w:bookmarkStart w:name="637604622" w:id="31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884.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w:t>
      </w:r>
    </w:p>
    <w:bookmarkEnd w:id="3167"/>
    <w:bookmarkStart w:name="637604623" w:id="3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устройствах, устанавливаемых в сырых и особо сырых помещениях и открытых установках, применение гигроскопических изоляционных материалов (мрамора, асбестоцемента) не допускается.</w:t>
      </w:r>
    </w:p>
    <w:bookmarkEnd w:id="3168"/>
    <w:bookmarkStart w:name="637604624" w:id="3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пыльных, сырых, особо сырых и на открытом воздухе устанавливаются распределительные устройства, надежно защищенные от отрицательного воздействия окружающей среды.</w:t>
      </w:r>
    </w:p>
    <w:bookmarkEnd w:id="3169"/>
    <w:bookmarkStart w:name="637604625" w:id="3170"/>
    <w:p>
      <w:pPr>
        <w:spacing w:before="120" w:after="120" w:line="240"/>
        <w:ind w:left="0"/>
        <w:jc w:val="center"/>
      </w:pPr>
      <w:r>
        <w:rPr>
          <w:rFonts w:hint="default" w:ascii="Times New Roman" w:hAnsi="Times New Roman"/>
          <w:b/>
          <w:i w:val="false"/>
          <w:color w:val="000000"/>
          <w:sz w:val="24"/>
        </w:rPr>
        <w:t>Параграф 5. Установка распределительных устройств в электропомещениях</w:t>
      </w:r>
    </w:p>
    <w:bookmarkEnd w:id="3170"/>
    <w:bookmarkStart w:name="637604626" w:id="31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885. В электропомещениях проходы обслуживания, находящиеся с лицевой или с задней стороны щита, должны соответствовать следующим требованиям:</w:t>
      </w:r>
    </w:p>
    <w:bookmarkEnd w:id="3171"/>
    <w:bookmarkStart w:name="637604627" w:id="31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стесняются выступающими строительными конструкциями, однако ширина прохода в этих местах должна быть не менее 0,6 м;</w:t>
      </w:r>
    </w:p>
    <w:bookmarkEnd w:id="3172"/>
    <w:bookmarkStart w:name="637604628" w:id="3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расстояния от наиболее выступающих неогражденных неизолированных токоведущих частей, расположенных на доступной высоте (менее 2,2 м) по одну сторону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выше – 1,5 м. Длиной щита в данном случае называется длина прохода между двумя рядами сплошного фронта панелей (шкафов) или между одним рядом и стеной;</w:t>
      </w:r>
    </w:p>
    <w:bookmarkEnd w:id="3173"/>
    <w:bookmarkStart w:name="637604629" w:id="31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расстояния между неогражденными неизолированными токоведущими частями, расположенными на высоте менее 2,2 м по обе стороны прохода, должны быть не менее, 1,5 м при напряжении ниже 660 В, 2,0 м при напряжении 660 В и выше;</w:t>
      </w:r>
    </w:p>
    <w:bookmarkEnd w:id="3174"/>
    <w:bookmarkStart w:name="637604630" w:id="3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неизолированные токоведущие части, находящиеся на расстояниях, меньших приведенных в подпунктах 2) и 3) настоящего пункта, должны быть ограждены;</w:t>
      </w:r>
    </w:p>
    <w:bookmarkEnd w:id="3175"/>
    <w:bookmarkStart w:name="637604631" w:id="3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неогражденные неизолированные токоведущие части, размещаемые над проходами, должны быть расположены на высоте не менее 2,2 м;</w:t>
      </w:r>
    </w:p>
    <w:bookmarkEnd w:id="3176"/>
    <w:bookmarkStart w:name="637604632" w:id="31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ограждения, размещаемые над проходами, должны быть расположены на высоте не менее 1,9 м.</w:t>
      </w:r>
    </w:p>
    <w:bookmarkEnd w:id="3177"/>
    <w:bookmarkStart w:name="637604633" w:id="3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886. В качестве ограждения неизолированных токоведущих частей могут служить сетки с размерами ячеек не более 25 х 25 мм, а также сплошные или смешанные ограждения.</w:t>
      </w:r>
    </w:p>
    <w:bookmarkEnd w:id="3178"/>
    <w:bookmarkStart w:name="637604634" w:id="3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Высота ограждений должна быть не менее 1,7 м.</w:t>
      </w:r>
    </w:p>
    <w:bookmarkEnd w:id="3179"/>
    <w:bookmarkStart w:name="637604635" w:id="31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Проходы обслуживания щитов при длине щита более 7 м должны иметь два выхода. Выходы из проходов с монтажной стороны щита выполняются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p>
    <w:bookmarkEnd w:id="3180"/>
    <w:bookmarkStart w:name="637604636" w:id="3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p>
    <w:bookmarkEnd w:id="3181"/>
    <w:bookmarkStart w:name="637604637" w:id="3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дверей должна быть не менее 0,75 м, высота – не менее 1,9 м.</w:t>
      </w:r>
    </w:p>
    <w:bookmarkEnd w:id="3182"/>
    <w:bookmarkStart w:name="637604638" w:id="3183"/>
    <w:p>
      <w:pPr>
        <w:spacing w:before="120" w:after="120" w:line="240"/>
        <w:ind w:left="0"/>
        <w:jc w:val="center"/>
      </w:pPr>
      <w:r>
        <w:rPr>
          <w:rFonts w:hint="default" w:ascii="Times New Roman" w:hAnsi="Times New Roman"/>
          <w:b/>
          <w:i w:val="false"/>
          <w:color w:val="000000"/>
          <w:sz w:val="24"/>
        </w:rPr>
        <w:t>Параграф 6. Установка распределительных устройств впроизводственных помещениях</w:t>
      </w:r>
    </w:p>
    <w:bookmarkEnd w:id="3183"/>
    <w:bookmarkStart w:name="637604639" w:id="3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887. Распределительные устройства, установленные в помещениях, доступных для неинструктированного персонала, должны иметь токоведущие части, закрытые сплошными ограждениями.</w:t>
      </w:r>
    </w:p>
    <w:bookmarkEnd w:id="3184"/>
    <w:bookmarkStart w:name="637604640" w:id="3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неизолированных токоведущих частей устройства должно быть не менее 0,7 м, а от сплошных – в соответствии с пунктом 880 настоящих Правил. Ширина проходов принимается в соответствии с требованиями, приведенными в пункте 885 настоящих Правил.</w:t>
      </w:r>
    </w:p>
    <w:bookmarkEnd w:id="3185"/>
    <w:bookmarkStart w:name="637604641" w:id="3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888. Оконцевание проводов и кабелей должно быть выполнено так, чтобы оно находилось внутри устройства.</w:t>
      </w:r>
    </w:p>
    <w:bookmarkEnd w:id="3186"/>
    <w:bookmarkStart w:name="637604642" w:id="3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889. Съемные ограждения должны укрепляться так, чтобы их удаление было невозможно без применения инструмента. Дверцы должны запираться на ключ.</w:t>
      </w:r>
    </w:p>
    <w:bookmarkEnd w:id="3187"/>
    <w:bookmarkStart w:name="637604643" w:id="3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890. Установка комплектных распределительных устройств и подстанций (КРУ, КТП) должна соответствовать требованиям, приведенным в главе 17 настоящих Правил для КРУ и КТП выше 1 кВ.</w:t>
      </w:r>
    </w:p>
    <w:bookmarkEnd w:id="3188"/>
    <w:bookmarkStart w:name="637604644" w:id="3189"/>
    <w:p>
      <w:pPr>
        <w:spacing w:before="120" w:after="120" w:line="240"/>
        <w:ind w:left="0"/>
        <w:jc w:val="center"/>
      </w:pPr>
      <w:r>
        <w:rPr>
          <w:rFonts w:hint="default" w:ascii="Times New Roman" w:hAnsi="Times New Roman"/>
          <w:b/>
          <w:i w:val="false"/>
          <w:color w:val="000000"/>
          <w:sz w:val="24"/>
        </w:rPr>
        <w:t>Параграф 7. Установка распределительных устройств на открытом воздухе</w:t>
      </w:r>
    </w:p>
    <w:bookmarkEnd w:id="3189"/>
    <w:bookmarkStart w:name="637604645" w:id="3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891. При установке распределительных устройств на открытом воздухе необходимо соблюдать следующие требования:</w:t>
      </w:r>
    </w:p>
    <w:bookmarkEnd w:id="3190"/>
    <w:bookmarkStart w:name="637604646" w:id="31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устанавливаются на повышенных фундаментах;</w:t>
      </w:r>
    </w:p>
    <w:bookmarkEnd w:id="3191"/>
    <w:bookmarkStart w:name="637604647" w:id="31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шкафах должен быть предусмотрен местный подогрев для обеспечения нормальной работы аппаратов, реле, измерительных приборов и приборов учета.</w:t>
      </w:r>
    </w:p>
    <w:bookmarkEnd w:id="3192"/>
    <w:bookmarkStart w:name="637604648" w:id="3193"/>
    <w:p>
      <w:pPr>
        <w:spacing w:before="120" w:after="120" w:line="240"/>
        <w:ind w:left="0"/>
        <w:jc w:val="both"/>
      </w:pPr>
      <w:r>
        <w:rPr>
          <w:rFonts w:hint="default" w:ascii="Times New Roman" w:hAnsi="Times New Roman"/>
          <w:b/>
          <w:i w:val="false"/>
          <w:color w:val="000000"/>
          <w:sz w:val="24"/>
        </w:rPr>
        <w:t>16. Распределительные устройства и подстанции</w:t>
      </w:r>
      <w:r>
        <w:br/>
      </w:r>
      <w:r>
        <w:rPr>
          <w:rFonts w:hint="default" w:ascii="Times New Roman" w:hAnsi="Times New Roman"/>
          <w:b/>
          <w:i w:val="false"/>
          <w:color w:val="000000"/>
          <w:sz w:val="24"/>
        </w:rPr>
        <w:t>
 напряжением выше 1 кВ</w:t>
      </w:r>
    </w:p>
    <w:bookmarkEnd w:id="3193"/>
    <w:bookmarkStart w:name="637604649" w:id="3194"/>
    <w:p>
      <w:pPr>
        <w:spacing w:before="120" w:after="120" w:line="240"/>
        <w:ind w:left="0"/>
        <w:jc w:val="center"/>
      </w:pPr>
      <w:r>
        <w:rPr>
          <w:rFonts w:hint="default" w:ascii="Times New Roman" w:hAnsi="Times New Roman"/>
          <w:b/>
          <w:i w:val="false"/>
          <w:color w:val="000000"/>
          <w:sz w:val="24"/>
        </w:rPr>
        <w:t>Параграф 1. Область применения.</w:t>
      </w:r>
    </w:p>
    <w:bookmarkEnd w:id="3194"/>
    <w:bookmarkStart w:name="637604650" w:id="3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892.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bookmarkEnd w:id="3195"/>
    <w:bookmarkStart w:name="637604651" w:id="31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приводят к повреждению оборудования и возникновению КЗ или замыканию на землю, а также причиняют вред обслуживающему персоналу;</w:t>
      </w:r>
    </w:p>
    <w:bookmarkEnd w:id="3196"/>
    <w:bookmarkStart w:name="637604652" w:id="3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нарушении нормальных условий работы электроустановки была обеспечена необходимая локализация повреждений, обусловленных действием КЗ;</w:t>
      </w:r>
    </w:p>
    <w:bookmarkEnd w:id="3197"/>
    <w:bookmarkStart w:name="637604653" w:id="31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p>
    <w:bookmarkEnd w:id="3198"/>
    <w:bookmarkStart w:name="637604654" w:id="3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была обеспечена возможность удобного транспортирования оборудования.</w:t>
      </w:r>
    </w:p>
    <w:bookmarkEnd w:id="3199"/>
    <w:bookmarkStart w:name="637604655" w:id="3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подпункта 3) настоящего пункта не распространяются на РУ типа сборок выше 1 кВ в подстанциях, ремонт которых производится при отключении всего РУ.</w:t>
      </w:r>
    </w:p>
    <w:bookmarkEnd w:id="3200"/>
    <w:bookmarkStart w:name="637604656" w:id="3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893. При использовании открытых ножевых разъединителей или открытых ножевых отделителей для отключения и включения тока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 и специальных директивных документов, утвержденных в установленном порядке.</w:t>
      </w:r>
    </w:p>
    <w:bookmarkEnd w:id="3201"/>
    <w:bookmarkStart w:name="637604657" w:id="3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894. Выбор аппаратов, проводников и изоляторов по условиям КЗ должен производиться в соответствии с главой 4 настоящих Правил.</w:t>
      </w:r>
    </w:p>
    <w:bookmarkEnd w:id="3202"/>
    <w:bookmarkStart w:name="637604658" w:id="3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895. Конструкции, на которых установлено и закреплено указанное в пункте 893 настоящих Правил электрооборудование, должны выдерживать нагрузки и воздействия от веса оборудования, ветра, гололеда, а также возникающие при КЗ.</w:t>
      </w:r>
    </w:p>
    <w:bookmarkEnd w:id="3203"/>
    <w:bookmarkStart w:name="637604659" w:id="3204"/>
    <w:p>
      <w:pPr>
        <w:spacing w:before="120" w:after="120" w:line="240"/>
        <w:ind w:left="0"/>
        <w:jc w:val="both"/>
      </w:pPr>
      <w:r>
        <w:rPr>
          <w:rFonts w:hint="default" w:ascii="Times New Roman" w:hAnsi="Times New Roman"/>
          <w:b w:val="false"/>
          <w:i w:val="false"/>
          <w:color w:val="000000"/>
          <w:sz w:val="24"/>
        </w:rPr>
        <w:t>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выше; недоступные для прикосновения – до 70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выше.</w:t>
      </w:r>
    </w:p>
    <w:bookmarkEnd w:id="3204"/>
    <w:bookmarkStart w:name="637604660" w:id="3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Конструкции не проверяются на нагрев, если по находящимся вблизи них токоведущим частям проходит переменный ток 1000 А и менее.</w:t>
      </w:r>
    </w:p>
    <w:bookmarkEnd w:id="3205"/>
    <w:bookmarkStart w:name="637604661" w:id="3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896.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каждой цепи от сборных шин, а также от других источников напряжения.</w:t>
      </w:r>
    </w:p>
    <w:bookmarkEnd w:id="3206"/>
    <w:bookmarkStart w:name="637604662" w:id="3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Указанное требование не распространяется на РУ в исполнении КРУЭ, шкафы КРУ и КРУН с выкатными тележками или выдвижными блоками выключателей, не требующие технического обслуживания в течение всего срока эксплуатации шкафы КРУ с заполненными элегазом герметичными высоковольтными отсеками, высокочастотные заградители и конденсаторы связи, трансформаторы напряжения, устанавливаемые на отходящих линиях, разрядники и ограничители перенапряжений, устанавливаемые на выводах трансформаторов и на отходящих линиях, а также на силовые трансформаторы с кабельными вводами.</w:t>
      </w:r>
    </w:p>
    <w:bookmarkEnd w:id="3207"/>
    <w:bookmarkStart w:name="637604663" w:id="3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обоснованных случаях допускается установка выключателей 35–110 кВ и комбинированных выключателей напряжением 110-500 кВ без аппаратов, создающих видимый разрыв (без разъединителей). При этом, конструкция выключателя должна обеспечивать надежную механическую связь между указателем положения и механизмом срабатывания включателя. Для создания видимого разрыва в этом случае необходимо отсоединять шлейфы ошиновки со стороны возможной подачи напряжения.</w:t>
      </w:r>
    </w:p>
    <w:bookmarkEnd w:id="3208"/>
    <w:bookmarkStart w:name="637604664" w:id="32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p>
    <w:bookmarkEnd w:id="3209"/>
    <w:bookmarkStart w:name="637604665" w:id="3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897.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p>
    <w:bookmarkEnd w:id="3210"/>
    <w:bookmarkStart w:name="637604666" w:id="3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898. При расположении РУ и подстанций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p>
    <w:bookmarkEnd w:id="3211"/>
    <w:bookmarkStart w:name="637604667" w:id="3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применяются специальные алюминиевые и сталеалюминиевые провода, защищенные от коррозии.</w:t>
      </w:r>
    </w:p>
    <w:bookmarkEnd w:id="3212"/>
    <w:bookmarkStart w:name="637604668" w:id="3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899.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пунктах 931, 932, 959, 960 настоящих Правил, с учетом поправок, компенсирующих снижение электрической прочности изоляции при пониженном давлении атмосферы.</w:t>
      </w:r>
    </w:p>
    <w:bookmarkEnd w:id="3213"/>
    <w:bookmarkStart w:name="637604669" w:id="3214"/>
    <w:p>
      <w:pPr>
        <w:spacing w:before="120" w:after="120" w:line="240"/>
        <w:ind w:left="0"/>
        <w:jc w:val="both"/>
      </w:pPr>
      <w:r>
        <w:rPr>
          <w:rFonts w:hint="default" w:ascii="Times New Roman" w:hAnsi="Times New Roman"/>
          <w:b w:val="false"/>
          <w:i w:val="false"/>
          <w:color w:val="000000"/>
          <w:sz w:val="24"/>
        </w:rPr>
        <w:t>900. В ОРУ, КРУН и в неотапливаемых ЗРУ, где температура окружающего воздуха может быть ниже минус 25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должен быть предусмотрен подогрев масла масляных выключателей.</w:t>
      </w:r>
    </w:p>
    <w:bookmarkEnd w:id="3214"/>
    <w:bookmarkStart w:name="637604670" w:id="32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других шкафов, в которых применяются аппаратура или зажимы внутренней установки.</w:t>
      </w:r>
    </w:p>
    <w:bookmarkEnd w:id="3215"/>
    <w:bookmarkStart w:name="637604671" w:id="3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Подогрев реле и измерительных приборов должен производиться в соответствии с требованиями, подогрев счетчиков – в соответствии с пунктом 104 и 105 настоящих Правил.</w:t>
      </w:r>
    </w:p>
    <w:bookmarkEnd w:id="3216"/>
    <w:bookmarkStart w:name="637604672" w:id="3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901. Ошиновка РУ и подстанций выполняется, проводом одинакового сечения из алюминиевых, сталеалюминиевых и стальных проводов, полос, труб и шин из профилей алюминия и алюминиевых сплавов электротехнического назначения.</w:t>
      </w:r>
    </w:p>
    <w:bookmarkEnd w:id="3217"/>
    <w:bookmarkStart w:name="637604673" w:id="32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Токопроводы выполняются в соответствии с требованиями главы 4 настоящих Правил.</w:t>
      </w:r>
    </w:p>
    <w:bookmarkEnd w:id="3218"/>
    <w:bookmarkStart w:name="637604674" w:id="3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902. Обозначение фаз электрооборудования и ошиновки РУ и подстанций должно выполняться в соответствии с требованиями главы 1 настоящих Правил.</w:t>
      </w:r>
    </w:p>
    <w:bookmarkEnd w:id="3219"/>
    <w:bookmarkStart w:name="637604675" w:id="3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903. Распределительные устройства 3 кВ и выше должны быть оборудованы оперативной блокировкой, исключающей возможность:</w:t>
      </w:r>
    </w:p>
    <w:bookmarkEnd w:id="3220"/>
    <w:bookmarkStart w:name="637604676" w:id="32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включения выключателей, отделителей и разъединителей на заземляющие ножи и короткозамыкатели;</w:t>
      </w:r>
    </w:p>
    <w:bookmarkEnd w:id="3221"/>
    <w:bookmarkStart w:name="637604677" w:id="3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включения заземляющих ножей на ошиновку, не отделенную разъединителями от ошиновки, находящейся под напряжением;</w:t>
      </w:r>
    </w:p>
    <w:bookmarkEnd w:id="3222"/>
    <w:bookmarkStart w:name="637604678" w:id="3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отключения и включения отделителями и разъединителями тока нагрузки, если это не предусмотрено конструкцией аппарата.</w:t>
      </w:r>
    </w:p>
    <w:bookmarkEnd w:id="3223"/>
    <w:bookmarkStart w:name="637604679" w:id="3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p>
    <w:bookmarkEnd w:id="3224"/>
    <w:bookmarkStart w:name="637604680" w:id="3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РУ с простыми схемами электрических соединений применяется механическая (ключевая) оперативная блокировка,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p>
    <w:bookmarkEnd w:id="3225"/>
    <w:bookmarkStart w:name="637604681" w:id="3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904. РУ и подстанции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без применения переносных заземлений. На случай отключения заземляющих ножей в процессе их ремонта или ремонта разъединителя, оснащенного заземляющим ножом, должны быть предусмотрены заземляющие ножи у других разъединителей на данном участке схемы, расположенные со стороны возможной подачи напряжения. Последнее требование не относится к заземляющим ножам со стороны линии линейных разъединителей (при отсутствии обходной системы шин) и к заземляющим ножам, установленным как самостоятельные аппараты отдельно от разъединителей, а также к РУ в исполнении КРУЭ. В малогабаритных КРУ с аппаратами, выполняющими одновременно функции разъединителя и заземлителя, заземление отходящих фидеров и вводных ячеек может предусматриваться при помощи перевода данных аппаратов в заземляющее положение и включения силовых выключателей. При этом, должна предусматриваться блокировка против ошибочного снятия заземления.</w:t>
      </w:r>
    </w:p>
    <w:bookmarkEnd w:id="3226"/>
    <w:bookmarkStart w:name="637604682" w:id="3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Заземляющие ножи должны быть окрашены в полосы белого и красного цветов. Рукоятки приводов заземляющих ножей должны быть окрашены в красный цвет, а рукоятки других приводов – в цвета оборудования.</w:t>
      </w:r>
    </w:p>
    <w:bookmarkEnd w:id="3227"/>
    <w:bookmarkStart w:name="637604683" w:id="3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в которых стационарные заземляющие ножи не применяются, на токоведущих и заземляющих шинах должны быть подготовлены контактные поверхности для присоединения переносных заземляющих проводников.</w:t>
      </w:r>
    </w:p>
    <w:bookmarkEnd w:id="3228"/>
    <w:bookmarkStart w:name="637604684" w:id="3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трансформаторов напряжения заземление сборных шин осуществляется заземляющими ножами разъединителей трансформаторов напряжения.</w:t>
      </w:r>
    </w:p>
    <w:bookmarkEnd w:id="3229"/>
    <w:bookmarkStart w:name="637604685" w:id="3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905.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пунктов 936 и 937 настоящих правил), а над уровнем пола для ЗРУ и трансформаторов,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на уровне пола.</w:t>
      </w:r>
    </w:p>
    <w:bookmarkEnd w:id="3230"/>
    <w:bookmarkStart w:name="637604686" w:id="3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Внешние ограждения должны выполняться в соответствии с требованиями, приведенными в пункте 918 настоящих Правил.</w:t>
      </w:r>
    </w:p>
    <w:bookmarkEnd w:id="3231"/>
    <w:bookmarkStart w:name="637604687" w:id="3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bookmarkEnd w:id="3232"/>
    <w:bookmarkStart w:name="637604688" w:id="3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906. В случае, когда деформации проводов (шин), обусловленные изменениями температуры, вибрацией, могут вызывать опасные механические напряжения в проводах или изоляторах, предусматриваются меры, исключающие возникновение таких напряжений (компенсаторы, ослабленное тяжение).</w:t>
      </w:r>
    </w:p>
    <w:bookmarkEnd w:id="3233"/>
    <w:bookmarkStart w:name="637604689" w:id="32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907.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w:t>
      </w:r>
    </w:p>
    <w:bookmarkEnd w:id="3234"/>
    <w:bookmarkStart w:name="637604690" w:id="3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bookmarkEnd w:id="3235"/>
    <w:bookmarkStart w:name="637604691" w:id="3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908.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bookmarkEnd w:id="3236"/>
    <w:bookmarkStart w:name="637604692" w:id="3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909.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p>
    <w:bookmarkEnd w:id="3237"/>
    <w:bookmarkStart w:name="637604693" w:id="3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910. Распределительные устройства и подстанции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bookmarkEnd w:id="3238"/>
    <w:bookmarkStart w:name="637604694" w:id="3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911. Распределительное устройство и подстанции должны быть обеспечены телефонной связью в соответствии с принятой системой обслуживания.</w:t>
      </w:r>
    </w:p>
    <w:bookmarkEnd w:id="3239"/>
    <w:bookmarkStart w:name="637604695" w:id="3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912. Размещение РУ и подстанций, генеральный план и инженерная подготовка территории и защита их от затопления, оползней, лавин должны быть выполнены в соответствии с требованиями СНиП.</w:t>
      </w:r>
    </w:p>
    <w:bookmarkEnd w:id="3240"/>
    <w:bookmarkStart w:name="637604696" w:id="32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913.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bookmarkEnd w:id="3241"/>
    <w:bookmarkStart w:name="637604697" w:id="32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914. Расстояния между РУ (подстанциями) и деревьями высотой более 4 м должны быть такими, чтобы исключались повреждения оборудования и ошиновки при падении дерева.</w:t>
      </w:r>
    </w:p>
    <w:bookmarkEnd w:id="3242"/>
    <w:bookmarkStart w:name="637604698" w:id="32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915.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до значений, указанных в СНиП.</w:t>
      </w:r>
    </w:p>
    <w:bookmarkEnd w:id="3243"/>
    <w:bookmarkStart w:name="637604699" w:id="3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916.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bookmarkEnd w:id="3244"/>
    <w:bookmarkStart w:name="637604700" w:id="3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917.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p>
    <w:bookmarkEnd w:id="3245"/>
    <w:bookmarkStart w:name="637604701" w:id="3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расположении подстанций 110 кВ и выше без постоянного дежурства персонала вблизи существующих систем водоснабжения и канализации (на расстоянии до 0,5 км) в здании общеподстанционного пункта управления (ОПУ) должны предусматриваться санитарные канализационные узлы.</w:t>
      </w:r>
    </w:p>
    <w:bookmarkEnd w:id="3246"/>
    <w:bookmarkStart w:name="637604702" w:id="3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918. Территория ОРУ и подстанции должны быть ограждены внешним забором высотой 1,8–2,0 м. Внешние заборы высотой более 2,0 м применяются в местах с высокими снежными заносами, а также для подстанций со специальным режимом допуска на их территорию.</w:t>
      </w:r>
    </w:p>
    <w:bookmarkEnd w:id="3247"/>
    <w:bookmarkStart w:name="637604703" w:id="3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Вспомогательные сооружения (мастерские, склады, ОПУ), расположенные на территории ОРУ, огораживается внутренним забором высотой 1,6 м.</w:t>
      </w:r>
    </w:p>
    <w:bookmarkEnd w:id="3248"/>
    <w:bookmarkStart w:name="637604704" w:id="32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расположении ОРУ (подстанции) на территории электростанций эти ОРУ (подстанции) должны быть ограждены внутренним забором высотой 1,6 м.</w:t>
      </w:r>
    </w:p>
    <w:bookmarkEnd w:id="3249"/>
    <w:bookmarkStart w:name="637604705" w:id="3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Заборы могут быть сплошными, сетчатыми или решетчатыми.</w:t>
      </w:r>
    </w:p>
    <w:bookmarkEnd w:id="3250"/>
    <w:bookmarkStart w:name="637604706" w:id="3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Заборы предусматриваются:</w:t>
      </w:r>
    </w:p>
    <w:bookmarkEnd w:id="3251"/>
    <w:bookmarkStart w:name="637604707" w:id="32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закрытых подстанций, расположенных на охраняемой территории промышленного предприятия;</w:t>
      </w:r>
    </w:p>
    <w:bookmarkEnd w:id="3252"/>
    <w:bookmarkStart w:name="637604708" w:id="32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закрытых подстанций, расположенных на территории городов и поселков;</w:t>
      </w:r>
    </w:p>
    <w:bookmarkEnd w:id="3253"/>
    <w:bookmarkStart w:name="637604709" w:id="32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столбовых подстанций.</w:t>
      </w:r>
    </w:p>
    <w:bookmarkEnd w:id="3254"/>
    <w:bookmarkStart w:name="637604710" w:id="32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919.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p>
    <w:bookmarkEnd w:id="3255"/>
    <w:bookmarkStart w:name="637604711" w:id="3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920. Для территории ОРУ и подстанций,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p>
    <w:bookmarkEnd w:id="3256"/>
    <w:bookmarkStart w:name="637604712" w:id="3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921. В качестве оперативного тока на подстанциях должен применяться переменный ток во всех случаях, когда это возможно и ведет к упрощению и удешевлению электроустановок при обеспечении необходимой надежности их работы.</w:t>
      </w:r>
    </w:p>
    <w:bookmarkEnd w:id="3257"/>
    <w:bookmarkStart w:name="637604713" w:id="3258"/>
    <w:p>
      <w:pPr>
        <w:spacing w:before="120" w:after="120" w:line="240"/>
        <w:ind w:left="0"/>
        <w:jc w:val="center"/>
      </w:pPr>
      <w:r>
        <w:rPr>
          <w:rFonts w:hint="default" w:ascii="Times New Roman" w:hAnsi="Times New Roman"/>
          <w:b/>
          <w:i w:val="false"/>
          <w:color w:val="000000"/>
          <w:sz w:val="24"/>
        </w:rPr>
        <w:t>Параграф 2. Открытые распределительные устройства</w:t>
      </w:r>
    </w:p>
    <w:bookmarkEnd w:id="3258"/>
    <w:bookmarkStart w:name="637604714" w:id="32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922. В ОРУ 110 кВ и выше должен быть предусмотрен проезд для передвижных монтажно-ремонтных механизмов и приспособлений, а также передвижных лабораторий.</w:t>
      </w:r>
    </w:p>
    <w:bookmarkEnd w:id="3259"/>
    <w:bookmarkStart w:name="637604715" w:id="3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923. Соединение гибких проводов в пролетах выполняется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p>
    <w:bookmarkEnd w:id="3260"/>
    <w:bookmarkStart w:name="637604716" w:id="3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Пайка и скрутка проводов не допускаются.</w:t>
      </w:r>
    </w:p>
    <w:bookmarkEnd w:id="3261"/>
    <w:bookmarkStart w:name="637604717" w:id="3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bookmarkEnd w:id="3262"/>
    <w:bookmarkStart w:name="637604718" w:id="3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Гирлянды изоляторов для подвески шин в ОРУ могут быть одноцепными. Если одноцепная гирлянда не удовлетворяет условиям механических нагрузок, то применяется двухцепная.</w:t>
      </w:r>
    </w:p>
    <w:bookmarkEnd w:id="3263"/>
    <w:bookmarkStart w:name="637604719" w:id="3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bookmarkEnd w:id="3264"/>
    <w:bookmarkStart w:name="637604720" w:id="3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924. Ответвления от сборных шин ОРУ, располагаются ниже сборных шин. Подвеска ошиновки одним пролетом над двумя и более секциями или системами сборных шин не допускается.</w:t>
      </w:r>
    </w:p>
    <w:bookmarkEnd w:id="3265"/>
    <w:bookmarkStart w:name="637604721" w:id="3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925. Нагрузки на шины и конструкции от ветра и гололеда, а также расчетные температуры воздуха должны определяться в соответствии с требованиями главы 11 настоящих Правил.</w:t>
      </w:r>
    </w:p>
    <w:bookmarkEnd w:id="3266"/>
    <w:bookmarkStart w:name="637604722" w:id="3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нагрузок на гибкие шины должен учитываться и вес гирлянды изоляторов и спусков к аппаратам и трансформаторам.</w:t>
      </w:r>
    </w:p>
    <w:bookmarkEnd w:id="3267"/>
    <w:bookmarkStart w:name="637604723" w:id="3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определении нагрузок на конструкции учитываются дополнительные нагрузки от массы человека с инструментом и монтажных приспособлений: 200 кг – при применении гирлянд изоляторов для анкерных опор и 150 кг – для промежуточных 100 кг – при опорных изоляторах.</w:t>
      </w:r>
    </w:p>
    <w:bookmarkEnd w:id="3268"/>
    <w:bookmarkStart w:name="637604724" w:id="32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p>
    <w:bookmarkEnd w:id="3269"/>
    <w:bookmarkStart w:name="637604725" w:id="3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926. Коэффициент запаса механической прочности для гибких шин при нагрузках, соответствующих требованиям, приведенным в пункте 904 настоящих Правил, должен быть не менее 3 по отношению к их временному сопротивлению разрыву.</w:t>
      </w:r>
    </w:p>
    <w:bookmarkEnd w:id="3270"/>
    <w:bookmarkStart w:name="637604726" w:id="3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927. Коэффициент запаса механической прочности для подвесных изоляторов при нагрузках, соответствующих требованиям, приведенным в пункте 904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w:t>
      </w:r>
    </w:p>
    <w:bookmarkEnd w:id="3271"/>
    <w:bookmarkStart w:name="637604727" w:id="32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928. Расчетные механические усилия, передающиеся при КЗ жесткими шинами на опорные изоляторы, должны приниматься в соответствии с пунктом 73 настоящих Правил.</w:t>
      </w:r>
    </w:p>
    <w:bookmarkEnd w:id="3272"/>
    <w:bookmarkStart w:name="637604728" w:id="3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929. Коэффициент запаса механической прочности в сцепной арматуре для гибких шин при нагрузках, соответствующих требованиям, приведенным в пункте 924 настоящих Правил, должен быть не менее 3 по отношению к минимальной разрушающей нагрузке.</w:t>
      </w:r>
    </w:p>
    <w:bookmarkEnd w:id="3273"/>
    <w:bookmarkStart w:name="637604729" w:id="3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930. Опоры для подвески шин ОРУ должны выполняться сборными железобетонными или из стали.</w:t>
      </w:r>
    </w:p>
    <w:bookmarkEnd w:id="3274"/>
    <w:bookmarkStart w:name="637604730" w:id="3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931. Опоры для крепления шин ОРУ выполняются и рассчитываются как промежуточные или концевые в соответствии с требованиями, приведенными в главы 11 настоящих Правил. Промежуточные опоры, временно используемые как концевые, должны быть усилены при помощи оттяжек.</w:t>
      </w:r>
    </w:p>
    <w:bookmarkEnd w:id="3275"/>
    <w:bookmarkStart w:name="637604731" w:id="3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932. Количество подвесных и опорных изоляторов, внешняя изоляция электрооборудования РУ.</w:t>
      </w:r>
    </w:p>
    <w:bookmarkEnd w:id="3276"/>
    <w:bookmarkStart w:name="637604732" w:id="3277"/>
    <w:p>
      <w:pPr>
        <w:spacing w:before="120" w:after="120" w:line="240"/>
        <w:ind w:left="0"/>
        <w:jc w:val="both"/>
      </w:pPr>
      <w:r>
        <w:rPr>
          <w:rFonts w:hint="default" w:ascii="Times New Roman" w:hAnsi="Times New Roman"/>
          <w:b w:val="false"/>
          <w:i w:val="false"/>
          <w:color w:val="000000"/>
          <w:sz w:val="24"/>
        </w:rPr>
        <w:t>933. Расстояния в свету при жестких шинах между токоведущими и заземленными частями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и между токоведущими частями разных фаз А</w:t>
      </w:r>
      <w:r>
        <w:rPr>
          <w:rFonts w:hint="default" w:ascii="Times New Roman" w:hAnsi="Times New Roman"/>
          <w:b w:val="false"/>
          <w:i w:val="false"/>
          <w:color w:val="000000"/>
          <w:vertAlign w:val="subscript"/>
        </w:rPr>
        <w:t>ф-ф</w:t>
      </w:r>
      <w:r>
        <w:rPr>
          <w:rFonts w:hint="default" w:ascii="Times New Roman" w:hAnsi="Times New Roman"/>
          <w:b w:val="false"/>
          <w:i w:val="false"/>
          <w:color w:val="000000"/>
          <w:sz w:val="24"/>
        </w:rPr>
        <w:t xml:space="preserve"> должны быть не менее значений, приведенных в рисунке 1 таблицы 130 приложения к настоящим Правилам.</w:t>
      </w:r>
    </w:p>
    <w:bookmarkEnd w:id="3277"/>
    <w:bookmarkStart w:name="637604733" w:id="32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применения вместо разрядников ограничителей перенапряжений 10–500 кВ с защитным уровнем фаза-земля 1,8 расстояния, указанные в пунктах 932–942, 959 настоящих Правил, сокращаются до значений, указанных в таблице 129 приложения к настоящим Правилам.</w:t>
      </w:r>
    </w:p>
    <w:bookmarkEnd w:id="3278"/>
    <w:bookmarkStart w:name="637604734" w:id="32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если в высокогорных установках расстояния между фазами увеличиваются по сравнению с приведенными в таблицах 129 и 130приложения к настоящим Правилам на основании проверки на корону, соответственно должны быть увеличены и расстояния до заземленных частей.</w:t>
      </w:r>
    </w:p>
    <w:bookmarkEnd w:id="3279"/>
    <w:bookmarkStart w:name="637604735" w:id="3280"/>
    <w:p>
      <w:pPr>
        <w:spacing w:before="120" w:after="120" w:line="240"/>
        <w:ind w:left="0"/>
        <w:jc w:val="both"/>
      </w:pPr>
      <w:r>
        <w:rPr>
          <w:rFonts w:hint="default" w:ascii="Times New Roman" w:hAnsi="Times New Roman"/>
          <w:b w:val="false"/>
          <w:i w:val="false"/>
          <w:color w:val="000000"/>
          <w:sz w:val="24"/>
        </w:rPr>
        <w:t>934. Расстояния в свету при гибких шинах (рисунок 2 приложения к настоящим Правилам) между токоведущими и заземленными частями А</w:t>
      </w:r>
      <w:r>
        <w:rPr>
          <w:rFonts w:hint="default" w:ascii="Times New Roman" w:hAnsi="Times New Roman"/>
          <w:b w:val="false"/>
          <w:i w:val="false"/>
          <w:color w:val="000000"/>
          <w:vertAlign w:val="subscript"/>
        </w:rPr>
        <w:t>ф-з,r</w:t>
      </w:r>
      <w:r>
        <w:rPr>
          <w:rFonts w:hint="default" w:ascii="Times New Roman" w:hAnsi="Times New Roman"/>
          <w:b w:val="false"/>
          <w:i w:val="false"/>
          <w:color w:val="000000"/>
          <w:sz w:val="24"/>
        </w:rPr>
        <w:t xml:space="preserve"> , а также между токоведущими частями А</w:t>
      </w:r>
      <w:r>
        <w:rPr>
          <w:rFonts w:hint="default" w:ascii="Times New Roman" w:hAnsi="Times New Roman"/>
          <w:b w:val="false"/>
          <w:i w:val="false"/>
          <w:color w:val="000000"/>
          <w:vertAlign w:val="subscript"/>
        </w:rPr>
        <w:t>ф-ф,r</w:t>
      </w:r>
      <w:r>
        <w:rPr>
          <w:rFonts w:hint="default" w:ascii="Times New Roman" w:hAnsi="Times New Roman"/>
          <w:b w:val="false"/>
          <w:i w:val="false"/>
          <w:color w:val="000000"/>
          <w:sz w:val="24"/>
        </w:rPr>
        <w:t xml:space="preserve"> , при их расположении в одной горизонтальной плоскости должны быть не менее</w:t>
      </w:r>
    </w:p>
    <w:bookmarkEnd w:id="3280"/>
    <w:bookmarkStart w:name="637604736" w:id="3281"/>
    <w:p>
      <w:pPr>
        <w:spacing w:before="120" w:after="120" w:line="240"/>
        <w:ind w:left="0"/>
        <w:jc w:val="center"/>
      </w:pPr>
      <w:r>
        <w:rPr>
          <w:rFonts w:hint="default" w:ascii="Times New Roman" w:hAnsi="Times New Roman"/>
          <w:b w:val="false"/>
          <w:i w:val="false"/>
          <w:color w:val="000000"/>
          <w:sz w:val="24"/>
        </w:rPr>
        <w:t>А</w:t>
      </w:r>
      <w:r>
        <w:rPr>
          <w:rFonts w:hint="default" w:ascii="Times New Roman" w:hAnsi="Times New Roman"/>
          <w:b w:val="false"/>
          <w:i w:val="false"/>
          <w:color w:val="000000"/>
          <w:vertAlign w:val="subscript"/>
        </w:rPr>
        <w:t>ф-з,r</w:t>
      </w:r>
      <w:r>
        <w:rPr>
          <w:rFonts w:hint="default" w:ascii="Times New Roman" w:hAnsi="Times New Roman"/>
          <w:b w:val="false"/>
          <w:i w:val="false"/>
          <w:color w:val="000000"/>
          <w:sz w:val="24"/>
        </w:rPr>
        <w:t xml:space="preserve"> =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 а;</w:t>
      </w:r>
    </w:p>
    <w:bookmarkEnd w:id="3281"/>
    <w:bookmarkStart w:name="637604737" w:id="3282"/>
    <w:p>
      <w:pPr>
        <w:spacing w:before="120" w:after="120" w:line="240"/>
        <w:ind w:left="0"/>
        <w:jc w:val="center"/>
      </w:pPr>
      <w:r>
        <w:rPr>
          <w:rFonts w:hint="default" w:ascii="Times New Roman" w:hAnsi="Times New Roman"/>
          <w:b w:val="false"/>
          <w:i w:val="false"/>
          <w:color w:val="000000"/>
          <w:sz w:val="24"/>
        </w:rPr>
        <w:t>А</w:t>
      </w:r>
      <w:r>
        <w:rPr>
          <w:rFonts w:hint="default" w:ascii="Times New Roman" w:hAnsi="Times New Roman"/>
          <w:b w:val="false"/>
          <w:i w:val="false"/>
          <w:color w:val="000000"/>
          <w:vertAlign w:val="subscript"/>
        </w:rPr>
        <w:t>ф-ф,r</w:t>
      </w:r>
      <w:r>
        <w:rPr>
          <w:rFonts w:hint="default" w:ascii="Times New Roman" w:hAnsi="Times New Roman"/>
          <w:b w:val="false"/>
          <w:i w:val="false"/>
          <w:color w:val="000000"/>
          <w:sz w:val="24"/>
        </w:rPr>
        <w:t xml:space="preserve"> = А</w:t>
      </w:r>
      <w:r>
        <w:rPr>
          <w:rFonts w:hint="default" w:ascii="Times New Roman" w:hAnsi="Times New Roman"/>
          <w:b w:val="false"/>
          <w:i w:val="false"/>
          <w:color w:val="000000"/>
          <w:vertAlign w:val="subscript"/>
        </w:rPr>
        <w:t>ф-ф</w:t>
      </w:r>
      <w:r>
        <w:rPr>
          <w:rFonts w:hint="default" w:ascii="Times New Roman" w:hAnsi="Times New Roman"/>
          <w:b w:val="false"/>
          <w:i w:val="false"/>
          <w:color w:val="000000"/>
          <w:sz w:val="24"/>
        </w:rPr>
        <w:t xml:space="preserve"> + а,</w:t>
      </w:r>
    </w:p>
    <w:bookmarkEnd w:id="3282"/>
    <w:bookmarkStart w:name="637604738" w:id="3283"/>
    <w:p>
      <w:pPr>
        <w:spacing w:before="120" w:after="120" w:line="240"/>
        <w:ind w:left="0"/>
        <w:jc w:val="both"/>
      </w:pPr>
      <w:r>
        <w:rPr>
          <w:b w:val="false"/>
          <w:i w:val="false"/>
          <w:color w:val="000000"/>
          <w:sz w:val="24"/>
        </w:rPr>
        <w:t> </w:t>
      </w:r>
      <w:r>
        <w:br/>
      </w:r>
      <w:r>
        <w:rPr>
          <w:b w:val="false"/>
          <w:i w:val="false"/>
          <w:color w:val="000000"/>
          <w:sz w:val="24"/>
        </w:rPr>
        <w:t>
 где а = f sina; f – стрела провеса провода при температуре плюс 15</w:t>
      </w:r>
      <w:r>
        <w:rPr>
          <w:b w:val="false"/>
          <w:i w:val="false"/>
          <w:color w:val="000000"/>
          <w:vertAlign w:val="superscript"/>
        </w:rPr>
        <w:t>0</w:t>
      </w:r>
      <w:r>
        <w:rPr>
          <w:b w:val="false"/>
          <w:i w:val="false"/>
          <w:color w:val="000000"/>
          <w:sz w:val="24"/>
        </w:rPr>
        <w:t xml:space="preserve"> С, м; a = arctg(Р/Q); Q – вес провода на 1 м длины, даН/м, Р – скоростной напор ветра на 1 м длины провода, даН/м, при этом, скорость ветра принимается равной 60 % значения, выбранного при расчете строительных конструкций.</w:t>
      </w:r>
    </w:p>
    <w:bookmarkEnd w:id="3283"/>
    <w:bookmarkStart w:name="637604739" w:id="32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935. При токах трехфазного КЗ 20 кА и более гибкие шины РУ проверяются на исключение возможности схлестывания или опасного в отношении пробоя сближения фаз в результате динамического действия тока КЗ.</w:t>
      </w:r>
    </w:p>
    <w:bookmarkEnd w:id="3284"/>
    <w:bookmarkStart w:name="637604740" w:id="3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соответствовать наименьшим воздушным промежуткам на ВЛ, принимаемым по наибольшему рабочему напряжению и приведенным в главе 11 настоящих Правил.</w:t>
      </w:r>
    </w:p>
    <w:bookmarkEnd w:id="3285"/>
    <w:bookmarkStart w:name="637604741" w:id="3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гибких токопроводах, выполненных из нескольких проводов в фазе, должны устанавливаться дистанционные распорки.</w:t>
      </w:r>
    </w:p>
    <w:bookmarkEnd w:id="3286"/>
    <w:bookmarkStart w:name="637604742" w:id="3287"/>
    <w:p>
      <w:pPr>
        <w:spacing w:before="120" w:after="120" w:line="240"/>
        <w:ind w:left="0"/>
        <w:jc w:val="both"/>
      </w:pPr>
      <w:r>
        <w:rPr>
          <w:rFonts w:hint="default" w:ascii="Times New Roman" w:hAnsi="Times New Roman"/>
          <w:b w:val="false"/>
          <w:i w:val="false"/>
          <w:color w:val="000000"/>
          <w:sz w:val="24"/>
        </w:rPr>
        <w:t>936. Расстояния по горизонтали от токоведуших и незаземленных частей или элементов изоляции (со стороны токоведуших частей) до постоянных внутренних ограждений в зависимости от их высоты должны быть не менее значений, приведенных в таблице 130 приложения к настоящим Правилам для размера Б при высоте ограждения 1,6 м и для размера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плоскости ограждения (рисунок 3 приложения к настоящим Правилам).</w:t>
      </w:r>
    </w:p>
    <w:bookmarkEnd w:id="3287"/>
    <w:bookmarkStart w:name="637604743" w:id="3288"/>
    <w:p>
      <w:pPr>
        <w:spacing w:before="120" w:after="120" w:line="240"/>
        <w:ind w:left="0"/>
        <w:jc w:val="both"/>
      </w:pPr>
      <w:r>
        <w:rPr>
          <w:rFonts w:hint="default" w:ascii="Times New Roman" w:hAnsi="Times New Roman"/>
          <w:b w:val="false"/>
          <w:i w:val="false"/>
          <w:color w:val="000000"/>
          <w:sz w:val="24"/>
        </w:rPr>
        <w:t>Расстояния от точки, расположенной на высоте 2,7 м в плоскости ограждения, до этих частей или элементов должны быть не менее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(рисунок 3 приложения к настоящим Правилам).</w:t>
      </w:r>
    </w:p>
    <w:bookmarkEnd w:id="3288"/>
    <w:bookmarkStart w:name="637604744" w:id="32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937. Токоведущие части (выводы, шины, спуски) могут не иметь внутренних ограждений, если они расположены над уровнем планировки или уровнем сооружения на высоте не менее значений, приведенных в таблице 130 приложения к настоящим Правилам, для размера Г (рисунок 4).</w:t>
      </w:r>
    </w:p>
    <w:bookmarkEnd w:id="3289"/>
    <w:bookmarkStart w:name="637604745" w:id="32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устанавливается фильтр на высоте, позволяющей производить ремонт (настройку) фильтра без снятия напряжения с оборудования присоединения.</w:t>
      </w:r>
    </w:p>
    <w:bookmarkEnd w:id="3290"/>
    <w:bookmarkStart w:name="637604746" w:id="32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на высоте не менее 2,5 м, разрешается не ограждать (рисунок 43 приложения к настоящим Правилам). При меньшей высоте оборудование должно иметь постоянное ограждение, удовлетворяющее требованиям пункта 905 настоящих Правил и находящееся от трансформаторов и аппаратов на расстоянии не менее приведенного в пункте 935 настоящих Правил.</w:t>
      </w:r>
    </w:p>
    <w:bookmarkEnd w:id="3291"/>
    <w:bookmarkStart w:name="637604747" w:id="3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938. Неограждаемые токоведущие части должны быть расположены так, чтобы расстояния от них до габаритов машин, механизмов и транспортируемого оборудования были не менее значений, приведенных для размера Б в русунке 5 таблицы 130 приложения к настоящим Правилам.</w:t>
      </w:r>
    </w:p>
    <w:bookmarkEnd w:id="3292"/>
    <w:bookmarkStart w:name="637604748" w:id="32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939.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должны быть по вертикали не менее значений, приведенных в таблице 130 приложения к настоящим Правилам для размера В, а по горизонтали – для размера Д (рисунок 6).</w:t>
      </w:r>
    </w:p>
    <w:bookmarkEnd w:id="3293"/>
    <w:bookmarkStart w:name="637604749" w:id="32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различных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p>
    <w:bookmarkEnd w:id="3294"/>
    <w:bookmarkStart w:name="637604750" w:id="3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пунктами 933 и 934 настоящих Правил, при этом, должна быть учтена возможность сближения проводов в условиях эксплуатации (под влиянием ветра, гололеда, температуры).</w:t>
      </w:r>
    </w:p>
    <w:bookmarkEnd w:id="3295"/>
    <w:bookmarkStart w:name="637604751" w:id="32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940.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таблице 130 приложения к настоящим Правилам для размера Д (рисунок 7). Размер Д предусматривает обслуживание одной цепи при неотключенной другой.</w:t>
      </w:r>
    </w:p>
    <w:bookmarkEnd w:id="3296"/>
    <w:bookmarkStart w:name="637604752" w:id="32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941. Расстояния между токоведущими частями и верхней кромкой внешнего забора должны быть не менее значений, приведенных в таблице 130 приложения к настоящим Правилам для размера Д (рисунок 8).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пункта 965 настоящих Правил.</w:t>
      </w:r>
    </w:p>
    <w:bookmarkEnd w:id="3297"/>
    <w:bookmarkStart w:name="637604753" w:id="3298"/>
    <w:p>
      <w:pPr>
        <w:spacing w:before="120" w:after="120" w:line="240"/>
        <w:ind w:left="0"/>
        <w:jc w:val="both"/>
      </w:pPr>
      <w:r>
        <w:rPr>
          <w:rFonts w:hint="default" w:ascii="Times New Roman" w:hAnsi="Times New Roman"/>
          <w:b w:val="false"/>
          <w:i w:val="false"/>
          <w:color w:val="000000"/>
          <w:sz w:val="24"/>
        </w:rPr>
        <w:t>942. Расстояния от контактов и ножей разъединителей в отключенном положении до заземленных частей должны быть не менее значений, приведенных в таблице 130 приложения к настоящим Правилам для размера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Б (рисунок 9).</w:t>
      </w:r>
    </w:p>
    <w:bookmarkEnd w:id="3298"/>
    <w:bookmarkStart w:name="637604754" w:id="32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943. Расстояния между токоведущими частями ОРУ и зданиями или сооружениями (ЗРУ, щит управления, трансформаторная башня) должны быть не менее значений, приведенных в таблице 130 приложения к настоящим Правилам для размера Д, а расстояния по вертикали между токоведущими частями и перечисленными выше сооружениями – не менее размера Г (рисунок 10).</w:t>
      </w:r>
    </w:p>
    <w:bookmarkEnd w:id="3299"/>
    <w:bookmarkStart w:name="637604755" w:id="3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944. Прокладка воздушных осветительных линий, линий связи и сигнализации над и под токоведущими частями ОРУ не допускается.</w:t>
      </w:r>
    </w:p>
    <w:bookmarkEnd w:id="3300"/>
    <w:bookmarkStart w:name="637604756" w:id="3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945. Расстояния от открыто установленных электротехнических устройств до водоохладителей подстанций должны быть не менее значений, приведенных в таблицы 131 приложения к настоящим Правилам.</w:t>
      </w:r>
    </w:p>
    <w:bookmarkEnd w:id="3301"/>
    <w:bookmarkStart w:name="637604757" w:id="3302"/>
    <w:p>
      <w:pPr>
        <w:spacing w:before="120" w:after="120" w:line="240"/>
        <w:ind w:left="0"/>
        <w:jc w:val="both"/>
      </w:pPr>
      <w:r>
        <w:rPr>
          <w:rFonts w:hint="default" w:ascii="Times New Roman" w:hAnsi="Times New Roman"/>
          <w:b w:val="false"/>
          <w:i w:val="false"/>
          <w:color w:val="000000"/>
          <w:sz w:val="24"/>
        </w:rPr>
        <w:t>Для районов с расчетными температурами наружного воздуха ниже минус 36</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приведенные в таблице 131 приложения к настоящим Правилам расстояния должны быть увеличены на 25 %, а с температурами выше минус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 уменьшены на 25 %. Для реконструируемых объектов приведенные в таблице 131 приложения к настоящим Правилам расстояния допускается уменьшать, но не более чем на 25 %.</w:t>
      </w:r>
    </w:p>
    <w:bookmarkEnd w:id="3302"/>
    <w:bookmarkStart w:name="637604758" w:id="33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946. Расстояния от маслонаполненного оборудования с массой масла в единице оборудования 60 кг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w:t>
      </w:r>
    </w:p>
    <w:bookmarkEnd w:id="3303"/>
    <w:bookmarkStart w:name="637604759" w:id="33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16 м при степенях огнестойкости этих зданий и сооружений I и II, 20 м при степени огнестойкости III;</w:t>
      </w:r>
    </w:p>
    <w:bookmarkEnd w:id="3304"/>
    <w:bookmarkStart w:name="637604760" w:id="3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24 м при степенях огнестойкости IV и V.</w:t>
      </w:r>
    </w:p>
    <w:bookmarkEnd w:id="3305"/>
    <w:bookmarkStart w:name="637604761" w:id="3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маслонаполненного оборудования до взрывоопасных зон и помещений принимаются согласно главе 24 настоящих Правил.</w:t>
      </w:r>
    </w:p>
    <w:bookmarkEnd w:id="3306"/>
    <w:bookmarkStart w:name="637604762" w:id="3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между отдельными зданиями подстанций в зависимости от степени их огнестойкости принимаются согласно СНиП.</w:t>
      </w:r>
    </w:p>
    <w:bookmarkEnd w:id="3307"/>
    <w:bookmarkStart w:name="637604763" w:id="3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6 м.</w:t>
      </w:r>
    </w:p>
    <w:bookmarkEnd w:id="3308"/>
    <w:bookmarkStart w:name="637604764" w:id="3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часов.</w:t>
      </w:r>
    </w:p>
    <w:bookmarkEnd w:id="3309"/>
    <w:bookmarkStart w:name="637604765" w:id="33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складов водорода до зданий подстанции и опор ВЛ должны быть не менее указанных в таблице 132 приложения к настоящим Правилам.</w:t>
      </w:r>
    </w:p>
    <w:bookmarkEnd w:id="3310"/>
    <w:bookmarkStart w:name="637604766" w:id="3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складов водорода до ОРУ, трансформаторов, синхронных компенсаторов должны быть не менее 50 м.</w:t>
      </w:r>
    </w:p>
    <w:bookmarkEnd w:id="3311"/>
    <w:bookmarkStart w:name="637604767" w:id="3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947.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p>
    <w:bookmarkEnd w:id="3312"/>
    <w:bookmarkStart w:name="637604768" w:id="3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948. При установке у стен зданий с производствами категорий Г—Д (по противопожарным нормам) маслонаполненных трансформаторов, обслуживающих эти производства, на расстоянии от них более 10 м и вне пределов участков шириной Б (рисунок 11 приложения к настоящим Правилам) специальных требований к стенам, окнам и дверям зданий не предъявляется.</w:t>
      </w:r>
    </w:p>
    <w:bookmarkEnd w:id="3313"/>
    <w:bookmarkStart w:name="637604769" w:id="33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меньшем расстоянии до трансформаторов, в пределах участков шириной Б, должны выполняться следующие требования:</w:t>
      </w:r>
    </w:p>
    <w:bookmarkEnd w:id="3314"/>
    <w:bookmarkStart w:name="637604770" w:id="3315"/>
    <w:p>
      <w:pPr>
        <w:spacing w:before="120" w:after="120" w:line="240"/>
        <w:ind w:left="0"/>
        <w:jc w:val="both"/>
      </w:pPr>
      <w:r>
        <w:rPr>
          <w:rFonts w:hint="default" w:ascii="Times New Roman" w:hAnsi="Times New Roman"/>
          <w:b w:val="false"/>
          <w:i w:val="false"/>
          <w:color w:val="000000"/>
          <w:sz w:val="24"/>
        </w:rPr>
        <w:t xml:space="preserve">1) окна до высоты </w:t>
      </w:r>
      <w:r>
        <w:rPr>
          <w:rFonts w:hint="default" w:ascii="Times New Roman" w:hAnsi="Times New Roman"/>
          <w:b w:val="false"/>
          <w:i/>
          <w:color w:val="000000"/>
          <w:sz w:val="24"/>
        </w:rPr>
        <w:t>д</w:t>
      </w:r>
      <w:r>
        <w:rPr>
          <w:rFonts w:hint="default" w:ascii="Times New Roman" w:hAnsi="Times New Roman"/>
          <w:b w:val="false"/>
          <w:i w:val="false"/>
          <w:color w:val="000000"/>
          <w:sz w:val="24"/>
        </w:rPr>
        <w:t xml:space="preserve"> (до уровня крышки трансформаторов) не допускаются;</w:t>
      </w:r>
    </w:p>
    <w:bookmarkEnd w:id="3315"/>
    <w:bookmarkStart w:name="637604771" w:id="3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расстоянии r менее 5 м и степенях огнестойкости зданий IV и V стена здания должна выполняться как противопожарная с пределом огнестойкости 2,5 часов и возвышаться над кровлей, выполненной из сгораемого материала, не менее чем на 0,7 м.;</w:t>
      </w:r>
    </w:p>
    <w:bookmarkEnd w:id="3316"/>
    <w:bookmarkStart w:name="637604772" w:id="3317"/>
    <w:p>
      <w:pPr>
        <w:spacing w:before="120" w:after="120" w:line="240"/>
        <w:ind w:left="0"/>
        <w:jc w:val="both"/>
      </w:pPr>
      <w:r>
        <w:rPr>
          <w:rFonts w:hint="default" w:ascii="Times New Roman" w:hAnsi="Times New Roman"/>
          <w:b w:val="false"/>
          <w:i w:val="false"/>
          <w:color w:val="000000"/>
          <w:sz w:val="24"/>
        </w:rPr>
        <w:t xml:space="preserve">3) при расстоянии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менее 5 м и степенях огнестойкости зданий I, II и III, а также при расстоянии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5 м и более без ограничения по огнестойкости на высоте от </w:t>
      </w:r>
      <w:r>
        <w:rPr>
          <w:rFonts w:hint="default" w:ascii="Times New Roman" w:hAnsi="Times New Roman"/>
          <w:b w:val="false"/>
          <w:i/>
          <w:color w:val="000000"/>
          <w:sz w:val="24"/>
        </w:rPr>
        <w:t>д</w:t>
      </w:r>
      <w:r>
        <w:rPr>
          <w:rFonts w:hint="default" w:ascii="Times New Roman" w:hAnsi="Times New Roman"/>
          <w:b w:val="false"/>
          <w:i w:val="false"/>
          <w:color w:val="000000"/>
          <w:sz w:val="24"/>
        </w:rPr>
        <w:t xml:space="preserve"> до </w:t>
      </w:r>
      <w:r>
        <w:rPr>
          <w:rFonts w:hint="default" w:ascii="Times New Roman" w:hAnsi="Times New Roman"/>
          <w:b w:val="false"/>
          <w:i/>
          <w:color w:val="000000"/>
          <w:sz w:val="24"/>
        </w:rPr>
        <w:t>д+е</w:t>
      </w:r>
      <w:r>
        <w:rPr>
          <w:rFonts w:hint="default" w:ascii="Times New Roman" w:hAnsi="Times New Roman"/>
          <w:b w:val="false"/>
          <w:i w:val="false"/>
          <w:color w:val="000000"/>
          <w:sz w:val="24"/>
        </w:rPr>
        <w:t xml:space="preserve"> допускаются неоткрывающиеся окна с заполнением армированным стеклом или стеклоблоками, с рамами, имеющими предел огнестойкости не менее 0,75 часов и выполняемыми из несгораемого материала; выше </w:t>
      </w:r>
      <w:r>
        <w:rPr>
          <w:rFonts w:hint="default" w:ascii="Times New Roman" w:hAnsi="Times New Roman"/>
          <w:b w:val="false"/>
          <w:i/>
          <w:color w:val="000000"/>
          <w:sz w:val="24"/>
        </w:rPr>
        <w:t>д+е</w:t>
      </w:r>
      <w:r>
        <w:rPr>
          <w:rFonts w:hint="default" w:ascii="Times New Roman" w:hAnsi="Times New Roman"/>
          <w:b w:val="false"/>
          <w:i w:val="false"/>
          <w:color w:val="000000"/>
          <w:sz w:val="24"/>
        </w:rPr>
        <w:t xml:space="preserve"> – окна, открывающиеся внутрь здания, с проемами, снабженными снаружи металлическими сетками с отверстиями не более 25х25 мм.;</w:t>
      </w:r>
    </w:p>
    <w:bookmarkEnd w:id="3317"/>
    <w:bookmarkStart w:name="637604773" w:id="3318"/>
    <w:p>
      <w:pPr>
        <w:spacing w:before="120" w:after="120" w:line="240"/>
        <w:ind w:left="0"/>
        <w:jc w:val="both"/>
      </w:pPr>
      <w:r>
        <w:rPr>
          <w:rFonts w:hint="default" w:ascii="Times New Roman" w:hAnsi="Times New Roman"/>
          <w:b w:val="false"/>
          <w:i w:val="false"/>
          <w:color w:val="000000"/>
          <w:sz w:val="24"/>
        </w:rPr>
        <w:t xml:space="preserve">4) при расстоянии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до 5 м на высоте менее д, а также при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5 м и более на любой высоте допускаются двери, выполняемые из несгораемого или трудносгораемого материала с пределом огнестойкости не менее 0,75 часов;</w:t>
      </w:r>
    </w:p>
    <w:bookmarkEnd w:id="3318"/>
    <w:bookmarkStart w:name="637604774" w:id="3319"/>
    <w:p>
      <w:pPr>
        <w:spacing w:before="120" w:after="120" w:line="240"/>
        <w:ind w:left="0"/>
        <w:jc w:val="both"/>
      </w:pPr>
      <w:r>
        <w:rPr>
          <w:rFonts w:hint="default" w:ascii="Times New Roman" w:hAnsi="Times New Roman"/>
          <w:b w:val="false"/>
          <w:i w:val="false"/>
          <w:color w:val="000000"/>
          <w:sz w:val="24"/>
        </w:rPr>
        <w:t xml:space="preserve">5) вентиляционные приемные отверстия в стене здания при расстоянии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до 5 м не допускаются, вытяжные отверстия с выбросом незагрязненного воздуха в указанном пределе допускаются на высоте </w:t>
      </w:r>
      <w:r>
        <w:rPr>
          <w:rFonts w:hint="default" w:ascii="Times New Roman" w:hAnsi="Times New Roman"/>
          <w:b w:val="false"/>
          <w:i/>
          <w:color w:val="000000"/>
          <w:sz w:val="24"/>
        </w:rPr>
        <w:t>д</w:t>
      </w:r>
      <w:r>
        <w:rPr>
          <w:rFonts w:hint="default" w:ascii="Times New Roman" w:hAnsi="Times New Roman"/>
          <w:b w:val="false"/>
          <w:i w:val="false"/>
          <w:color w:val="000000"/>
          <w:sz w:val="24"/>
        </w:rPr>
        <w:t xml:space="preserve"> ;</w:t>
      </w:r>
    </w:p>
    <w:bookmarkEnd w:id="3319"/>
    <w:bookmarkStart w:name="637604775" w:id="3320"/>
    <w:p>
      <w:pPr>
        <w:spacing w:before="120" w:after="120" w:line="240"/>
        <w:ind w:left="0"/>
        <w:jc w:val="both"/>
      </w:pPr>
      <w:r>
        <w:rPr>
          <w:rFonts w:hint="default" w:ascii="Times New Roman" w:hAnsi="Times New Roman"/>
          <w:b w:val="false"/>
          <w:i w:val="false"/>
          <w:color w:val="000000"/>
          <w:sz w:val="24"/>
        </w:rPr>
        <w:t xml:space="preserve">6) расстояние – </w:t>
      </w:r>
      <w:r>
        <w:rPr>
          <w:rFonts w:hint="default" w:ascii="Times New Roman" w:hAnsi="Times New Roman"/>
          <w:b w:val="false"/>
          <w:i/>
          <w:color w:val="000000"/>
          <w:sz w:val="24"/>
        </w:rPr>
        <w:t>б</w:t>
      </w:r>
      <w:r>
        <w:rPr>
          <w:rFonts w:hint="default" w:ascii="Times New Roman" w:hAnsi="Times New Roman"/>
          <w:b w:val="false"/>
          <w:i w:val="false"/>
          <w:color w:val="000000"/>
          <w:sz w:val="24"/>
        </w:rPr>
        <w:t xml:space="preserve"> в соответствии с пунтком 1311, расстояние </w:t>
      </w:r>
      <w:r>
        <w:rPr>
          <w:rFonts w:hint="default" w:ascii="Times New Roman" w:hAnsi="Times New Roman"/>
          <w:b w:val="false"/>
          <w:i/>
          <w:color w:val="000000"/>
          <w:sz w:val="24"/>
        </w:rPr>
        <w:t>г</w:t>
      </w:r>
      <w:r>
        <w:rPr>
          <w:rFonts w:hint="default" w:ascii="Times New Roman" w:hAnsi="Times New Roman"/>
          <w:b w:val="false"/>
          <w:i w:val="false"/>
          <w:color w:val="000000"/>
          <w:sz w:val="24"/>
        </w:rPr>
        <w:t xml:space="preserve"> должно быть не менее 0,8 м.;</w:t>
      </w:r>
    </w:p>
    <w:bookmarkEnd w:id="3320"/>
    <w:bookmarkStart w:name="637604776" w:id="3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вдоль всех трансформаторов предусматривается проезд шириной не менее 3 м или пожарный подъезд к каждому из них.</w:t>
      </w:r>
    </w:p>
    <w:bookmarkEnd w:id="3321"/>
    <w:bookmarkStart w:name="637604777" w:id="3322"/>
    <w:p>
      <w:pPr>
        <w:spacing w:before="120" w:after="120" w:line="240"/>
        <w:ind w:left="0"/>
        <w:jc w:val="both"/>
      </w:pPr>
      <w:r>
        <w:rPr>
          <w:rFonts w:hint="default" w:ascii="Times New Roman" w:hAnsi="Times New Roman"/>
          <w:b w:val="false"/>
          <w:i w:val="false"/>
          <w:color w:val="000000"/>
          <w:sz w:val="24"/>
        </w:rPr>
        <w:t xml:space="preserve">Приведенные на рис. 11 размеры </w:t>
      </w:r>
      <w:r>
        <w:rPr>
          <w:rFonts w:hint="default" w:ascii="Times New Roman" w:hAnsi="Times New Roman"/>
          <w:b w:val="false"/>
          <w:i/>
          <w:color w:val="000000"/>
          <w:sz w:val="24"/>
        </w:rPr>
        <w:t>а–г</w:t>
      </w:r>
      <w:r>
        <w:rPr>
          <w:rFonts w:hint="default" w:ascii="Times New Roman" w:hAnsi="Times New Roman"/>
          <w:b w:val="false"/>
          <w:i w:val="false"/>
          <w:color w:val="000000"/>
          <w:sz w:val="24"/>
        </w:rPr>
        <w:t xml:space="preserve"> и А принимаются до наиболее выступающих частей трансформаторов на высоте менее 1,9 м от поверхности земли. При единичной мощности трансформаторов до 1,6 МВхА b </w:t>
      </w:r>
      <w:r>
        <w:rPr>
          <w:rFonts w:hint="default" w:ascii="Times New Roman" w:hAnsi="Times New Roman"/>
          <w:b w:val="false"/>
          <w:i w:val="false"/>
          <w:color w:val="000000"/>
          <w:sz w:val="24"/>
          <w:u w:val="single"/>
        </w:rPr>
        <w:t>&gt;</w:t>
      </w:r>
      <w:r>
        <w:rPr>
          <w:rFonts w:hint="default" w:ascii="Times New Roman" w:hAnsi="Times New Roman"/>
          <w:b w:val="false"/>
          <w:i w:val="false"/>
          <w:color w:val="000000"/>
          <w:sz w:val="24"/>
        </w:rPr>
        <w:t xml:space="preserve"> 1,5 м, е </w:t>
      </w:r>
      <w:r>
        <w:rPr>
          <w:rFonts w:hint="default" w:ascii="Times New Roman" w:hAnsi="Times New Roman"/>
          <w:b w:val="false"/>
          <w:i w:val="false"/>
          <w:color w:val="000000"/>
          <w:sz w:val="24"/>
          <w:u w:val="single"/>
        </w:rPr>
        <w:t>&gt;</w:t>
      </w:r>
      <w:r>
        <w:rPr>
          <w:rFonts w:hint="default" w:ascii="Times New Roman" w:hAnsi="Times New Roman"/>
          <w:b w:val="false"/>
          <w:i w:val="false"/>
          <w:color w:val="000000"/>
          <w:sz w:val="24"/>
        </w:rPr>
        <w:t xml:space="preserve"> 8 м; более 1,6 МВxА b </w:t>
      </w:r>
      <w:r>
        <w:rPr>
          <w:rFonts w:hint="default" w:ascii="Times New Roman" w:hAnsi="Times New Roman"/>
          <w:b w:val="false"/>
          <w:i w:val="false"/>
          <w:color w:val="000000"/>
          <w:sz w:val="24"/>
          <w:u w:val="single"/>
        </w:rPr>
        <w:t>&gt;</w:t>
      </w:r>
      <w:r>
        <w:rPr>
          <w:rFonts w:hint="default" w:ascii="Times New Roman" w:hAnsi="Times New Roman"/>
          <w:b w:val="false"/>
          <w:i w:val="false"/>
          <w:color w:val="000000"/>
          <w:sz w:val="24"/>
        </w:rPr>
        <w:t xml:space="preserve"> 2 м; е </w:t>
      </w:r>
      <w:r>
        <w:rPr>
          <w:rFonts w:hint="default" w:ascii="Times New Roman" w:hAnsi="Times New Roman"/>
          <w:b w:val="false"/>
          <w:i w:val="false"/>
          <w:color w:val="000000"/>
          <w:sz w:val="24"/>
          <w:u w:val="single"/>
        </w:rPr>
        <w:t>&gt;</w:t>
      </w:r>
      <w:r>
        <w:rPr>
          <w:rFonts w:hint="default" w:ascii="Times New Roman" w:hAnsi="Times New Roman"/>
          <w:b w:val="false"/>
          <w:i w:val="false"/>
          <w:color w:val="000000"/>
          <w:sz w:val="24"/>
        </w:rPr>
        <w:t xml:space="preserve"> 10 м.</w:t>
      </w:r>
    </w:p>
    <w:bookmarkEnd w:id="3322"/>
    <w:bookmarkStart w:name="637604778" w:id="3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настоящего параграфа распространяются также на КТП наружной установки.</w:t>
      </w:r>
    </w:p>
    <w:bookmarkEnd w:id="3323"/>
    <w:bookmarkStart w:name="637604779" w:id="3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949. Для предотвращения растекания масла и распространения пожара при повреждениях маслонаполненных силовых трансформаторов (реакторов) с массой масла более 1 тонны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p>
    <w:bookmarkEnd w:id="3324"/>
    <w:bookmarkStart w:name="637604780" w:id="3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габариты маслоприемника должны выступать за габариты единичного электрооборудования не менее чем на 0,6 м при массе масла до 2 тонн; 1 м при массе более 2 до 10 тонн 1,5 м при массе более 10 до 50 тонн 2 м при массе более 50 тонн. При этом, габарит маслоприемника может быть принят меньшим на 0,5 м со стороны стены или перегородки, располагаемой от трансформатора на расстоянии менее 2 м.</w:t>
      </w:r>
    </w:p>
    <w:bookmarkEnd w:id="3325"/>
    <w:bookmarkStart w:name="637604781" w:id="3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Объем маслоприемника должен быть рассчитан на одновременный прием 100 % масла, содержащегося в корпусе трансформатора (реактора).</w:t>
      </w:r>
    </w:p>
    <w:bookmarkEnd w:id="3326"/>
    <w:bookmarkStart w:name="637604782" w:id="3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баковых выключателей маслоприемники должны быть рассчитаны на прием 80 % масла, содержащегося в одном баке;</w:t>
      </w:r>
    </w:p>
    <w:bookmarkEnd w:id="3327"/>
    <w:bookmarkStart w:name="637604783" w:id="3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w:t>
      </w:r>
    </w:p>
    <w:bookmarkEnd w:id="3328"/>
    <w:bookmarkStart w:name="637604784" w:id="33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для трансформаторов (реакторов) мощностью до 10 МВxА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0,25 м слой чистого гравия или промытого гранитного щебня либо непористого щебня другой породы с частицами от 30 до 70 мм.</w:t>
      </w:r>
    </w:p>
    <w:bookmarkEnd w:id="3329"/>
    <w:bookmarkStart w:name="637604785" w:id="33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выполненяется простейшее устройство для проверки отсутствия масла (воды) в маслоприемнике;</w:t>
      </w:r>
    </w:p>
    <w:bookmarkEnd w:id="3330"/>
    <w:bookmarkStart w:name="637604786" w:id="33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Маслоприемники с отводом масла выполняются как заглубленного типа (дно ниже уровня окружающей планировки земли), так и незаглубленного типа (дно на уровне окружающей планировки земли).</w:t>
      </w:r>
    </w:p>
    <w:bookmarkEnd w:id="3331"/>
    <w:bookmarkStart w:name="637604787" w:id="33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заглубленного маслоприемника устройство бортовых ограждений не требуется, если при этом, обеспечивается объем маслоприемника.</w:t>
      </w:r>
    </w:p>
    <w:bookmarkEnd w:id="3332"/>
    <w:bookmarkStart w:name="637604788" w:id="33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p>
    <w:bookmarkEnd w:id="3333"/>
    <w:bookmarkStart w:name="637604789" w:id="33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70 мм. Толщина засыпки должна быть не менее 0,25 м;</w:t>
      </w:r>
    </w:p>
    <w:bookmarkEnd w:id="3334"/>
    <w:bookmarkStart w:name="637604790" w:id="3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bookmarkEnd w:id="3335"/>
    <w:bookmarkStart w:name="637604791" w:id="3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 масла и полное количество воды должны удаляться не более чем за 0,25 часов. Маслоотводы выполняются в виде подземных трубопроводов или открытых кюветов и лотков;</w:t>
      </w:r>
    </w:p>
    <w:bookmarkEnd w:id="3336"/>
    <w:bookmarkStart w:name="637604792" w:id="3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p>
    <w:bookmarkEnd w:id="3337"/>
    <w:bookmarkStart w:name="637604793" w:id="3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950. На подстанциях 110 кВ с трансформаторами единичной мощностью 63 МВ А и более и трансформаторами 220 кВ и выше единичной мощностью 40 МВ А и более, а также на подстанциях с синхронными компенсаторами для тушения пожара предусматривается водопровод с питанием от существующей внешней сети или от самостоятельного источника водоснабжения.</w:t>
      </w:r>
    </w:p>
    <w:bookmarkEnd w:id="3338"/>
    <w:bookmarkStart w:name="637604794" w:id="3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с трансформаторами 220 кВ единичной мощностью менее 40 МВ А предусматривается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p>
    <w:bookmarkEnd w:id="3339"/>
    <w:bookmarkStart w:name="637604795" w:id="3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с трансформаторами 35–110 кВ единичной мощностью менее 63 МВ А противопожарный водопровод и водоем не предусматриваются.</w:t>
      </w:r>
    </w:p>
    <w:bookmarkEnd w:id="3340"/>
    <w:bookmarkStart w:name="637604796" w:id="3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951. Фундаменты под маслонаполненные трансформаторы или аппараты должны выполняться из несгораемых материалов.</w:t>
      </w:r>
    </w:p>
    <w:bookmarkEnd w:id="3341"/>
    <w:bookmarkStart w:name="637604797" w:id="3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952. На подстанциях, оборудованных совмещенными порталами, у трансформаторов (автотрансформаторов) железнодорожные пути для их перекатки,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p>
    <w:bookmarkEnd w:id="3342"/>
    <w:bookmarkStart w:name="637604798" w:id="3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953. По спланированной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p>
    <w:bookmarkEnd w:id="3343"/>
    <w:bookmarkStart w:name="637604799" w:id="3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Автодороги с покрытием (усовершенствованным, переходным, низшим) предусматриваются,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p>
    <w:bookmarkEnd w:id="3344"/>
    <w:bookmarkStart w:name="637604800" w:id="3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проезжей части внутриплощадочных дорог должна быть не менее 3,5 м. При определении габаритов проездов должны быть учтены размеры применяемых приспособлений и механизмов в соответствии с пунктом 921 настоящих Правил.</w:t>
      </w:r>
    </w:p>
    <w:bookmarkEnd w:id="3345"/>
    <w:bookmarkStart w:name="637604801" w:id="3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954. Установка КРУН и КТП наружной установки должна отвечать следующим требованиям:</w:t>
      </w:r>
    </w:p>
    <w:bookmarkEnd w:id="3346"/>
    <w:bookmarkStart w:name="637604802" w:id="3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КРУН и КТП должны быть расположены на спланированной площадке на высоте не менее 0,2 м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установливается КРУН и КТП наружной установки на высоте 1,0–1,2 м.;</w:t>
      </w:r>
    </w:p>
    <w:bookmarkEnd w:id="3347"/>
    <w:bookmarkStart w:name="637604803" w:id="3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расположение устройства должно обеспечивать удобную выкатку и транспортировку трансформаторов и выкатной части ячеек;</w:t>
      </w:r>
    </w:p>
    <w:bookmarkEnd w:id="3348"/>
    <w:bookmarkStart w:name="637604804" w:id="33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должно быть обеспечено охлаждение оборудования. Кроме того, КРУН и КТП наружной установки должны отвечать требованиям, приведенным в пунктах 891–894, 896–903, 906–908, 911–914, 917, 919, 1099, 1100 настоящих Правил.</w:t>
      </w:r>
    </w:p>
    <w:bookmarkEnd w:id="3349"/>
    <w:bookmarkStart w:name="637604805" w:id="33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923 и 952 настоящих Правил.</w:t>
      </w:r>
    </w:p>
    <w:bookmarkEnd w:id="3350"/>
    <w:bookmarkStart w:name="637604806" w:id="3351"/>
    <w:p>
      <w:pPr>
        <w:spacing w:before="120" w:after="120" w:line="240"/>
        <w:ind w:left="0"/>
        <w:jc w:val="center"/>
      </w:pPr>
      <w:r>
        <w:rPr>
          <w:rFonts w:hint="default" w:ascii="Times New Roman" w:hAnsi="Times New Roman"/>
          <w:b/>
          <w:i w:val="false"/>
          <w:color w:val="000000"/>
          <w:sz w:val="24"/>
        </w:rPr>
        <w:t>Параграф 3. Закрытые распределительные устройства и подстанции</w:t>
      </w:r>
    </w:p>
    <w:bookmarkEnd w:id="3351"/>
    <w:bookmarkStart w:name="637604807" w:id="3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955. Здания и помещения ЗРУ и камеры трансформаторов должны быть I или II степени огнестойкости.</w:t>
      </w:r>
    </w:p>
    <w:bookmarkEnd w:id="3352"/>
    <w:bookmarkStart w:name="637604808" w:id="33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956. Пристройка подстанции к существующему зданию с использованием стены здания в качестве стены 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p>
    <w:bookmarkEnd w:id="3353"/>
    <w:bookmarkStart w:name="637604809" w:id="3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957. ЗРУ напряжением до и выше 1 кВ, размещаются в отдельных помещениях. Это требование не распространяется на КТП с высшим напряжением до 35 кВ.</w:t>
      </w:r>
    </w:p>
    <w:bookmarkEnd w:id="3354"/>
    <w:bookmarkStart w:name="637604810" w:id="3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размещение ЗРУ напряжением до 1 кВ и выше в общем помещении при условии, что части РУ или подстанции напряжением до 1 кВ и выше будут эксплуатироваться одной организацией.</w:t>
      </w:r>
    </w:p>
    <w:bookmarkEnd w:id="3355"/>
    <w:bookmarkStart w:name="637604811" w:id="3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Помещения РУ, трансформаторов, преобразователей должны быть отделены от служебных и других вспомогательных помещений.</w:t>
      </w:r>
    </w:p>
    <w:bookmarkEnd w:id="3356"/>
    <w:bookmarkStart w:name="637604812" w:id="3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958. Трансформаторные помещения и ЗРУ не допускается размещать:</w:t>
      </w:r>
    </w:p>
    <w:bookmarkEnd w:id="3357"/>
    <w:bookmarkStart w:name="637604813" w:id="3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под помещением производств с мокрым технологическим процессом, под душевыми, уборными, ванными. Исключения допускаются в случаях, когда приняты специальные меры по надежной гидроизоляции, предотвращающие попадание влаги в помещения РУ и подстанций;</w:t>
      </w:r>
    </w:p>
    <w:bookmarkEnd w:id="3358"/>
    <w:bookmarkStart w:name="637604814" w:id="3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непосредственно под и над помещениями, в которых может находиться более 50 человек в период более 1 часа над и под площадью перекрытия, трансформаторного помещения и ЗРУ.</w:t>
      </w:r>
    </w:p>
    <w:bookmarkEnd w:id="3359"/>
    <w:bookmarkStart w:name="637604815" w:id="3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Требование подпункта 2) настощего пункта не распространяется на трансформаторные помещения, в которых установлены трансформаторы сухие или с негорючим наполнением.</w:t>
      </w:r>
    </w:p>
    <w:bookmarkEnd w:id="3360"/>
    <w:bookmarkStart w:name="637604816" w:id="3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959.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13,8–24 кВ – на напряжение 35 кВ.</w:t>
      </w:r>
    </w:p>
    <w:bookmarkEnd w:id="3361"/>
    <w:bookmarkStart w:name="637604817" w:id="3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960.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на русунках 12-15 таблицы 133 приложения к настоящим Правилам.</w:t>
      </w:r>
    </w:p>
    <w:bookmarkEnd w:id="3362"/>
    <w:bookmarkStart w:name="637604818" w:id="3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Гибкие шины в ЗРУ проверяются на их сближение под действием токов КЗ в соответствии с требованиями, приведенными в пункте 934 настоящих Правил.</w:t>
      </w:r>
    </w:p>
    <w:bookmarkEnd w:id="3363"/>
    <w:bookmarkStart w:name="637604819" w:id="3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961.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таблице 133 приложения к настоящим Правилам для размера Ж (рисунок 14).</w:t>
      </w:r>
    </w:p>
    <w:bookmarkEnd w:id="3364"/>
    <w:bookmarkStart w:name="637604820" w:id="3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962. Неизолированные токоведущие части должны быть защищены от случайных прикосновений путем помещения их в камеры, ограждения сетками.</w:t>
      </w:r>
    </w:p>
    <w:bookmarkEnd w:id="3365"/>
    <w:bookmarkStart w:name="637604821" w:id="33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размещении неизолированных токоведущих частей вне камер и расположении их ниже размера Д по таблице 133 приложения к настоящим Правилам от пола они должны быть ограждены. Высота прохода под ограждением должна быть не менее 1,9 м (рисунок 15).</w:t>
      </w:r>
    </w:p>
    <w:bookmarkEnd w:id="3366"/>
    <w:bookmarkStart w:name="637604822" w:id="33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Токоведушие части, расположенные выше ограждений до высоты 2,3 м от пола, но ниже размера Д, должны находиться от плоскости ограждения на расстояниях, приведенных в таблице 133 приложения к настоящим Правилам для размера В (рисунок 14).</w:t>
      </w:r>
    </w:p>
    <w:bookmarkEnd w:id="3367"/>
    <w:bookmarkStart w:name="637604823" w:id="3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Неогражденные токоведушие части, соединяющие конденсатор устройства высокочастотной связи, телемеханики и защиты с фильтром, должны быть расположены на высоте не менее 2,2 м. При этом, устанавливается фильтр на высоте, позволяющей производить ремонт (настройку) фильтра без снятия напряжения с оборудования присоединений.</w:t>
      </w:r>
    </w:p>
    <w:bookmarkEnd w:id="3368"/>
    <w:bookmarkStart w:name="637604824" w:id="33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Аппараты, у которых нижняя кромка фарфора изоляторов расположена над уровнем пола на высоте 2,2 м и более, разрешается не ограждать, если выполнены приведенные выше требования.</w:t>
      </w:r>
    </w:p>
    <w:bookmarkEnd w:id="3369"/>
    <w:bookmarkStart w:name="637604825" w:id="3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барьеров для ограждения токоведущих частей в открытых камерах не допускается.</w:t>
      </w:r>
    </w:p>
    <w:bookmarkEnd w:id="3370"/>
    <w:bookmarkStart w:name="637604826" w:id="33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963. Неогражденные неизолированные токоведушие части различных цепей, находящихся на высоте, превышающей значения, приведенные в таблице 133 приложения к настоящим Правилам для размера Д должны быть расположены на таком расстоянии одна от другой, чтобы после отключения какой-либо цепи было обеспечено ее безопасное обслуживание при наличии напряжения в соседних цепях. В частности, между неогражденными токоведущими частями, расположенными с двух сторон коридора обслуживания, должны быть соблюдены расстояния не менее приведенных в таблице 133 приложения для размера Г (рисунок 14).</w:t>
      </w:r>
    </w:p>
    <w:bookmarkEnd w:id="3371"/>
    <w:bookmarkStart w:name="637604827" w:id="33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964.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расположении оборудования.</w:t>
      </w:r>
    </w:p>
    <w:bookmarkEnd w:id="3372"/>
    <w:bookmarkStart w:name="637604828" w:id="3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965. 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двустороннем обслуживании до 1,8 м.</w:t>
      </w:r>
    </w:p>
    <w:bookmarkEnd w:id="3373"/>
    <w:bookmarkStart w:name="637604829" w:id="33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проходов в помещениях КРУ и КТП – в соответствии с пунктами 998 и 1096 настоящих Правил.</w:t>
      </w:r>
    </w:p>
    <w:bookmarkEnd w:id="3374"/>
    <w:bookmarkStart w:name="637604830" w:id="3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взрывного коридора должна быть не менее 1,2 м.</w:t>
      </w:r>
    </w:p>
    <w:bookmarkEnd w:id="3375"/>
    <w:bookmarkStart w:name="637604831" w:id="3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местное сужение коридора обслуживания, а также взрывного коридора строительными конструкциями не более чем на 0,2 м.</w:t>
      </w:r>
    </w:p>
    <w:bookmarkEnd w:id="3376"/>
    <w:bookmarkStart w:name="637604832" w:id="3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Высота помещений КРУ и КТП – в соответствии с пунктом 999 настоящих Правил.</w:t>
      </w:r>
    </w:p>
    <w:bookmarkEnd w:id="3377"/>
    <w:bookmarkStart w:name="637604833" w:id="3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966. При воздушных вводах в ЗРУ, не пересекающих проездов или мест, где возможно движение транспорта, расстояния от низшей точки провода до поверхности земли должны быть не менее приведенных в таблице 133 приложения к настоящим Правилам для размера Е (рисунок 15).</w:t>
      </w:r>
    </w:p>
    <w:bookmarkEnd w:id="3378"/>
    <w:bookmarkStart w:name="637604834" w:id="33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меньших расстояниях от провода до земли территория на соответствующем участке под вводом должна быть ограждена забором высотой 1,6 м, при этом, расстояние от земли до провода в плоскости забора должно быть не менее размера Е.</w:t>
      </w:r>
    </w:p>
    <w:bookmarkEnd w:id="3379"/>
    <w:bookmarkStart w:name="637604835" w:id="33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воздушных вводах, пересекающих проезды или места, где возможно движение транспорта, расстояния от низшего провода до земли принимаются в соответствии с главой 11 настоящих Правил.</w:t>
      </w:r>
    </w:p>
    <w:bookmarkEnd w:id="3380"/>
    <w:bookmarkStart w:name="637604836" w:id="3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воздушных выводах из ЗРУ на территорию ОРУ указанные расстояния должны приниматься по таблице 130 приложения к настоящим Правилам для размера Г (рисунок 4).</w:t>
      </w:r>
    </w:p>
    <w:bookmarkEnd w:id="3381"/>
    <w:bookmarkStart w:name="637604837" w:id="3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между смежными линейными выводами двух цепей должны быть не менее значений, приведенных в таблице 130 приложения к настоящим Правилам, как для размера Д, если не предусмотрены перегородки между выводами соседних цепей.</w:t>
      </w:r>
    </w:p>
    <w:bookmarkEnd w:id="3382"/>
    <w:bookmarkStart w:name="637604838" w:id="33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крышах ЗРУ над воздушными вводами должны быть предусмотрены ограждения высотой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p>
    <w:bookmarkEnd w:id="3383"/>
    <w:bookmarkStart w:name="637604839" w:id="3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967. Провода ввода в здание РУ, расположенные над его крышей, должны находиться от нее на высоте не менее приведенной в пункте 942 настощих Правил.</w:t>
      </w:r>
    </w:p>
    <w:bookmarkEnd w:id="3384"/>
    <w:bookmarkStart w:name="637604840" w:id="3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Выходы из РУ должны выполняться в соответствии со следующим:</w:t>
      </w:r>
    </w:p>
    <w:bookmarkEnd w:id="3385"/>
    <w:bookmarkStart w:name="637604841" w:id="33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длине РУ до 7 м допускается один выход;</w:t>
      </w:r>
    </w:p>
    <w:bookmarkEnd w:id="3386"/>
    <w:bookmarkStart w:name="637604842" w:id="33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длине РУ более 7 м до 60 м должно быть предусмотрено два выхода по его концам, допускается располагать выходы из РУ на расстоянии до 7 м от его торцов;</w:t>
      </w:r>
    </w:p>
    <w:bookmarkEnd w:id="3387"/>
    <w:bookmarkStart w:name="637604843" w:id="3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управления или взрывного коридора до выхода было не более 30 м.</w:t>
      </w:r>
    </w:p>
    <w:bookmarkEnd w:id="3388"/>
    <w:bookmarkStart w:name="637604844" w:id="3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Выходы выполняются наружу, на лестничную клетку или в другое производственное помещение с несгораемьми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предусматриваются также на балкон с наружной пожарной лестницей.</w:t>
      </w:r>
    </w:p>
    <w:bookmarkEnd w:id="3389"/>
    <w:bookmarkStart w:name="637604845" w:id="3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968. Взрывные коридоры большой длины разделяются на отсеки не более 60 м несгораемыми перегородками с огнестойкостью не менее 1 часа с дверями, выполняемыми в соответствии с пунктом 969 настоящих Правил. Взрывные коридоры должны иметь выходы наружу или на лестничную клетку.</w:t>
      </w:r>
    </w:p>
    <w:bookmarkEnd w:id="3390"/>
    <w:bookmarkStart w:name="637604846" w:id="3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969. Полы помещений РУ выполняется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w:t>
      </w:r>
    </w:p>
    <w:bookmarkEnd w:id="3391"/>
    <w:bookmarkStart w:name="637604847" w:id="3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970.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p>
    <w:bookmarkEnd w:id="3392"/>
    <w:bookmarkStart w:name="637604848" w:id="33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p>
    <w:bookmarkEnd w:id="3393"/>
    <w:bookmarkStart w:name="637604849" w:id="3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между помещениями (отсеками) РУ разных напряжений должны открываться в сторону РУ с низшим напряжением до 1 кВ.</w:t>
      </w:r>
    </w:p>
    <w:bookmarkEnd w:id="3394"/>
    <w:bookmarkStart w:name="637604850" w:id="33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w:t>
      </w:r>
    </w:p>
    <w:bookmarkEnd w:id="3395"/>
    <w:bookmarkStart w:name="637604851" w:id="3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Требование о применении самозапирающихся замков не распространяется на распределительные устройства городских электросетей 10 кВ и ниже.</w:t>
      </w:r>
    </w:p>
    <w:bookmarkEnd w:id="3396"/>
    <w:bookmarkStart w:name="637604852" w:id="33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971.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часов в случаях, если они выходят в помещения, не относящиеся к данной подстанции, а также если они находятся между отсеками взрывных коридоров и РУ. В остальных случаях двери выполняются из сгораемых материалов и имеют меньший предел огнестойкости.</w:t>
      </w:r>
    </w:p>
    <w:bookmarkEnd w:id="3397"/>
    <w:bookmarkStart w:name="637604853" w:id="33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Ворота камер с шириной створки более 1,5 м должны иметь калитку, если они используются для выхода персонала.</w:t>
      </w:r>
    </w:p>
    <w:bookmarkEnd w:id="3398"/>
    <w:bookmarkStart w:name="637604854" w:id="3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972. Закрытые распределительные устройства выполняется без окон, на неохраняемых территориях такое выполнение является обязательным.</w:t>
      </w:r>
    </w:p>
    <w:bookmarkEnd w:id="3399"/>
    <w:bookmarkStart w:name="637604855" w:id="3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необходимости в естественном освещении применяются стеклоблоки или армированное стекло.</w:t>
      </w:r>
    </w:p>
    <w:bookmarkEnd w:id="3400"/>
    <w:bookmarkStart w:name="637604856" w:id="3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Оконные переплеты помещений РУ и подстанций выполняются из сгораемых материалов. В ЗРУ окна должны быть неоткрывающимися.</w:t>
      </w:r>
    </w:p>
    <w:bookmarkEnd w:id="3401"/>
    <w:bookmarkStart w:name="637604857" w:id="34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Устройство световых фонарей не допускается.</w:t>
      </w:r>
    </w:p>
    <w:bookmarkEnd w:id="3402"/>
    <w:bookmarkStart w:name="637604858" w:id="3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Окна должны быть защищены сетками с ячейками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p>
    <w:bookmarkEnd w:id="3403"/>
    <w:bookmarkStart w:name="637604859" w:id="3404"/>
    <w:p>
      <w:pPr>
        <w:spacing w:before="120" w:after="120" w:line="240"/>
        <w:ind w:left="0"/>
        <w:jc w:val="both"/>
      </w:pPr>
      <w:r>
        <w:rPr>
          <w:rFonts w:hint="default" w:ascii="Times New Roman" w:hAnsi="Times New Roman"/>
          <w:b w:val="false"/>
          <w:i w:val="false"/>
          <w:color w:val="000000"/>
          <w:sz w:val="24"/>
        </w:rPr>
        <w:t>973. В одном общем помещении с РУ напряжением до 1 кВ и выше допускается установка одного масляного трансформатора мощностью до 0,63 МВ</w:t>
      </w:r>
      <w:r>
        <w:rPr>
          <w:rFonts w:hint="default" w:ascii="Times New Roman" w:hAnsi="Times New Roman"/>
          <w:b w:val="false"/>
          <w:i w:val="false"/>
          <w:color w:val="000000"/>
          <w:vertAlign w:val="superscript"/>
        </w:rPr>
        <w:t>.</w:t>
      </w:r>
      <w:r>
        <w:rPr>
          <w:rFonts w:hint="default" w:ascii="Times New Roman" w:hAnsi="Times New Roman"/>
          <w:b w:val="false"/>
          <w:i w:val="false"/>
          <w:color w:val="000000"/>
          <w:sz w:val="24"/>
        </w:rPr>
        <w:t xml:space="preserve"> А или двух масляных трансформаторов мощностью каждый до 0,4 МВ</w:t>
      </w:r>
      <w:r>
        <w:rPr>
          <w:rFonts w:hint="default" w:ascii="Times New Roman" w:hAnsi="Times New Roman"/>
          <w:b w:val="false"/>
          <w:i w:val="false"/>
          <w:color w:val="000000"/>
          <w:vertAlign w:val="superscript"/>
        </w:rPr>
        <w:t>.</w:t>
      </w:r>
      <w:r>
        <w:rPr>
          <w:rFonts w:hint="default" w:ascii="Times New Roman" w:hAnsi="Times New Roman"/>
          <w:b w:val="false"/>
          <w:i w:val="false"/>
          <w:color w:val="000000"/>
          <w:sz w:val="24"/>
        </w:rPr>
        <w:t xml:space="preserve"> А, отделенных от остальной части помещения перегородкой с пределом огнестойкости 1 час, при этом, неизолированные токоведущие части выше 1 кВ должны быть ограждены в соответствии с пунктом 961 настоящих Правил. Баковые масляные выключатели в указанных случаях должны устанавливаться в соответствии с пунктом 975 настоящих Правил.</w:t>
      </w:r>
    </w:p>
    <w:bookmarkEnd w:id="3404"/>
    <w:bookmarkStart w:name="637604860" w:id="3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974. Аппараты, относящиеся к пусковым устройствам электродвигателей, синхронных компенсаторов (выключатели, пусковые реакторы, трансформаторы), устанавливаются в общей камере без перегородок между ними.</w:t>
      </w:r>
    </w:p>
    <w:bookmarkEnd w:id="3405"/>
    <w:bookmarkStart w:name="637604861" w:id="3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975. В камерах РУ, имеющих выходы во взрывной коридор, допускается установка трансформаторов с массой масла до 600 кг.</w:t>
      </w:r>
    </w:p>
    <w:bookmarkEnd w:id="3406"/>
    <w:bookmarkStart w:name="637604862" w:id="3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p>
    <w:bookmarkEnd w:id="3407"/>
    <w:bookmarkStart w:name="637604863" w:id="3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976.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p>
    <w:bookmarkEnd w:id="3408"/>
    <w:bookmarkStart w:name="637604864" w:id="34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Баковые масляные выключатели с массой масла 25–60 кг устанавливаются как во взрывных, так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p>
    <w:bookmarkEnd w:id="3409"/>
    <w:bookmarkStart w:name="637604865" w:id="3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Баковые масляные выключатели с массой масла до 25 кг, малообъемные масляные выключатели и выключатели без масла устанавливаются в открытых камерах.</w:t>
      </w:r>
    </w:p>
    <w:bookmarkEnd w:id="3410"/>
    <w:bookmarkStart w:name="637604866" w:id="3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p>
    <w:bookmarkEnd w:id="3411"/>
    <w:bookmarkStart w:name="637604867" w:id="34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пункта 892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1,9 м от пола.</w:t>
      </w:r>
    </w:p>
    <w:bookmarkEnd w:id="3412"/>
    <w:bookmarkStart w:name="637604868" w:id="34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Требование об установке защитного щита не распространяется на установку воздушных выключателей.</w:t>
      </w:r>
    </w:p>
    <w:bookmarkEnd w:id="3413"/>
    <w:bookmarkStart w:name="637604869" w:id="3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977. Во взрывных коридорах не должно устанавливаться оборудование с открытыми токоведущими частями.</w:t>
      </w:r>
    </w:p>
    <w:bookmarkEnd w:id="3414"/>
    <w:bookmarkStart w:name="637604870" w:id="3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Взрывные коридоры должны иметь выходы, выполненные в соответствии с требованиями пункта 968 настоящих Правил.</w:t>
      </w:r>
    </w:p>
    <w:bookmarkEnd w:id="3415"/>
    <w:bookmarkStart w:name="637604871" w:id="3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978. В закрытых отдельно стоящих, пристроенных и встроенных в производственные помещения подстанциях, в камерах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bookmarkEnd w:id="3416"/>
    <w:bookmarkStart w:name="637604872" w:id="34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массе масла в одном баке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 масла трансформатора или аппарата. Должны быть также предусмотрены меры против растекания масла через кабельные сооружения.</w:t>
      </w:r>
    </w:p>
    <w:bookmarkEnd w:id="3417"/>
    <w:bookmarkStart w:name="637604873" w:id="3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979. При сооружении камер над подвалом, на втором этаже и выше,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bookmarkEnd w:id="3418"/>
    <w:bookmarkStart w:name="637604874" w:id="3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массе масла в одном баке от 60 до 600 кг:</w:t>
      </w:r>
    </w:p>
    <w:bookmarkEnd w:id="3419"/>
    <w:bookmarkStart w:name="637604875" w:id="3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виде приямка, рассчитанного на полный объем масла;</w:t>
      </w:r>
    </w:p>
    <w:bookmarkEnd w:id="3420"/>
    <w:bookmarkStart w:name="637604876" w:id="34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путем устройства порога или пандуса у выхода из камеры, обеспечивающего удержание полного объема масла;</w:t>
      </w:r>
    </w:p>
    <w:bookmarkEnd w:id="3421"/>
    <w:bookmarkStart w:name="637604877" w:id="3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массе масла в одном баке более 600 кг:</w:t>
      </w:r>
    </w:p>
    <w:bookmarkEnd w:id="3422"/>
    <w:bookmarkStart w:name="637604878" w:id="3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виде маслоприемника, вмещающего не менее 20 %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w:t>
      </w:r>
    </w:p>
    <w:bookmarkEnd w:id="3423"/>
    <w:bookmarkStart w:name="637604879" w:id="3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виде маслоприемника без отвода масла в дренажную систему. В этом случае маслоприемник должен быть перекрыт решеткой со слоем гравия толщиной 25 см и должен быть рассчитан на полный объем масла;</w:t>
      </w:r>
    </w:p>
    <w:bookmarkEnd w:id="3424"/>
    <w:bookmarkStart w:name="637604880" w:id="3425"/>
    <w:p>
      <w:pPr>
        <w:spacing w:before="120" w:after="120" w:line="240"/>
        <w:ind w:left="0"/>
        <w:jc w:val="both"/>
      </w:pPr>
      <w:r>
        <w:rPr>
          <w:rFonts w:hint="default" w:ascii="Times New Roman" w:hAnsi="Times New Roman"/>
          <w:b w:val="false"/>
          <w:i w:val="false"/>
          <w:color w:val="000000"/>
          <w:sz w:val="24"/>
        </w:rPr>
        <w:t>уровень масла должен быть на 5 см ниже решетки. Верхний уровень гравия в маслоприемнике под трансформатором должен быть на 7,5 см ниже отверстия воздухе подводящего вентиляционного канала. Дно маслоприемника должно иметь уклон 2</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в сторону приямка. Площадь маслоприемника должна быть больше площади основания трансформатора или аппарата;</w:t>
      </w:r>
    </w:p>
    <w:bookmarkEnd w:id="3425"/>
    <w:bookmarkStart w:name="637604881" w:id="34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массе масла в трансформаторе или аппарате до 60 кг выполняется порог или пандус для удержания полного объема масла.</w:t>
      </w:r>
    </w:p>
    <w:bookmarkEnd w:id="3426"/>
    <w:bookmarkStart w:name="637604882" w:id="3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980.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p>
    <w:bookmarkEnd w:id="3427"/>
    <w:bookmarkStart w:name="637604883" w:id="3428"/>
    <w:p>
      <w:pPr>
        <w:spacing w:before="120" w:after="120" w:line="240"/>
        <w:ind w:left="0"/>
        <w:jc w:val="both"/>
      </w:pPr>
      <w:r>
        <w:rPr>
          <w:rFonts w:hint="default" w:ascii="Times New Roman" w:hAnsi="Times New Roman"/>
          <w:b w:val="false"/>
          <w:i w:val="false"/>
          <w:color w:val="000000"/>
          <w:sz w:val="24"/>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трансформаторов, 30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реакторов на токи до 1000 А,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реакторов на токи более 1000 А.</w:t>
      </w:r>
    </w:p>
    <w:bookmarkEnd w:id="3428"/>
    <w:bookmarkStart w:name="637604884" w:id="3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bookmarkEnd w:id="3429"/>
    <w:bookmarkStart w:name="637604885" w:id="3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981.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p>
    <w:bookmarkEnd w:id="3430"/>
    <w:bookmarkStart w:name="637604886" w:id="3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bookmarkEnd w:id="3431"/>
    <w:bookmarkStart w:name="637604887" w:id="3432"/>
    <w:p>
      <w:pPr>
        <w:spacing w:before="120" w:after="120" w:line="240"/>
        <w:ind w:left="0"/>
        <w:jc w:val="both"/>
      </w:pPr>
      <w:r>
        <w:rPr>
          <w:rFonts w:hint="default" w:ascii="Times New Roman" w:hAnsi="Times New Roman"/>
          <w:b w:val="false"/>
          <w:i w:val="false"/>
          <w:color w:val="000000"/>
          <w:sz w:val="24"/>
        </w:rPr>
        <w:t>982. В помещениях, в которых дежурный персонал находится 6 часов и более, должна быть обеспечена температура воздуха не ниже плюс 18</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 не выше плюс 28</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Допускается устройство местных душирующих установок непосредственно на рабочем месте дежурного.</w:t>
      </w:r>
    </w:p>
    <w:bookmarkEnd w:id="3432"/>
    <w:bookmarkStart w:name="637604888" w:id="3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p>
    <w:bookmarkEnd w:id="3433"/>
    <w:bookmarkStart w:name="637604889" w:id="3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983. Проемы в междуэтажных перекрытиях, стенах, перегородках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часов.</w:t>
      </w:r>
    </w:p>
    <w:bookmarkEnd w:id="3434"/>
    <w:bookmarkStart w:name="637604890" w:id="3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984.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p>
    <w:bookmarkEnd w:id="3435"/>
    <w:bookmarkStart w:name="637604891" w:id="34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985. Пересечение камер аппаратов и трансформаторов кабелями, относящимися к другим цепям,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допускаются только на коротких участках и притом лишь в той мере, в какой это необходимо для осуществления присоединений.</w:t>
      </w:r>
    </w:p>
    <w:bookmarkEnd w:id="3436"/>
    <w:bookmarkStart w:name="637604892" w:id="3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986.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bookmarkEnd w:id="3437"/>
    <w:bookmarkStart w:name="637604893" w:id="3438"/>
    <w:p>
      <w:pPr>
        <w:spacing w:before="120" w:after="120" w:line="240"/>
        <w:ind w:left="0"/>
        <w:jc w:val="both"/>
      </w:pPr>
      <w:r>
        <w:rPr>
          <w:rFonts w:hint="default" w:ascii="Times New Roman" w:hAnsi="Times New Roman"/>
          <w:b/>
          <w:i w:val="false"/>
          <w:color w:val="000000"/>
          <w:sz w:val="24"/>
        </w:rPr>
        <w:t>Парагаф 4. Внутрицеховые трансформаторные подстанции</w:t>
      </w:r>
    </w:p>
    <w:bookmarkEnd w:id="3438"/>
    <w:bookmarkStart w:name="637604894" w:id="3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987. Требования, приведенные в пунктах 988 и 1001 настоящих Правил, распространяются на внутрицеховые подстанции напряжением до 35 кВ за исключением преобразовательных подстанций и электротермических установок.</w:t>
      </w:r>
    </w:p>
    <w:bookmarkEnd w:id="3439"/>
    <w:bookmarkStart w:name="637604895" w:id="3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988. Внутрицеховые подстанции размещаются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p>
    <w:bookmarkEnd w:id="3440"/>
    <w:bookmarkStart w:name="637604896" w:id="3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имеющих взрывоопасные или пожароопасные зоны, размещение внутрицеховых подстанций выполняются в соответствии с требованиями глав 24 и 25 настоящих Правил.</w:t>
      </w:r>
    </w:p>
    <w:bookmarkEnd w:id="3441"/>
    <w:bookmarkStart w:name="637604897" w:id="3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пыльных и с химически активной средой устройство внутрицеховых подстанций допускается при условии принятия мер, обеспечивающих надежную работу их электрооборудования.</w:t>
      </w:r>
    </w:p>
    <w:bookmarkEnd w:id="3442"/>
    <w:bookmarkStart w:name="637604898" w:id="34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989. В производственных помещениях трансформаторы и РУ устанавливаются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p>
    <w:bookmarkEnd w:id="3443"/>
    <w:bookmarkStart w:name="637604899" w:id="3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990. На внутрицеховой подстанции установка КТП или трансформаторов должна быть выполнена с соблюдением следующих требований:</w:t>
      </w:r>
    </w:p>
    <w:bookmarkEnd w:id="3444"/>
    <w:bookmarkStart w:name="637604900" w:id="3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каждой открыто установленной внутрицеховой подстанции применяются масляные трансформаторы с суммарной мощностью до 3,2 МВ А. Расстояние в свету между масляными трансформаторами разных КТП, а также между огражденными камерами масляных трансформаторов должно быть не менее 10 м.;</w:t>
      </w:r>
    </w:p>
    <w:bookmarkEnd w:id="3445"/>
    <w:bookmarkStart w:name="637604901" w:id="3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одном помещении внутрицеховой подстанции устанавливается КТП (допускается установка не более трех КТП) с масляными трансформаторами суммарной мощностью не более 6,5 МВ А.</w:t>
      </w:r>
    </w:p>
    <w:bookmarkEnd w:id="3446"/>
    <w:bookmarkStart w:name="637604902" w:id="3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внутрицеховом расположении закрытой камеры масляного трансформатора масса масла должна быть не более 6,5 тонн.</w:t>
      </w:r>
    </w:p>
    <w:bookmarkEnd w:id="3447"/>
    <w:bookmarkStart w:name="637604903" w:id="3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p>
    <w:bookmarkEnd w:id="3448"/>
    <w:bookmarkStart w:name="637604904" w:id="3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Ограждающие конструкции помещения внутрицеховой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часов.</w:t>
      </w:r>
    </w:p>
    <w:bookmarkEnd w:id="3449"/>
    <w:bookmarkStart w:name="637604905" w:id="3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подпункта 2) настоящего пункта распространяются также на пристроенные и встроенные подстанции, имеющие выкатку масляного трансформатора внутрь здания;</w:t>
      </w:r>
    </w:p>
    <w:bookmarkEnd w:id="3450"/>
    <w:bookmarkStart w:name="637604906" w:id="3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суммарная мощность масляных трансформаторов внутрицеховой подстанции, установленных на втором этаже, должна быть не более 1 МВ А.</w:t>
      </w:r>
    </w:p>
    <w:bookmarkEnd w:id="3451"/>
    <w:bookmarkStart w:name="637604907" w:id="34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КТП с масляными трансформаторами и масляных трансформаторов выше второго этажа не допускается;</w:t>
      </w:r>
    </w:p>
    <w:bookmarkEnd w:id="3452"/>
    <w:bookmarkStart w:name="637604908" w:id="3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внутрицеховых подстанций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p>
    <w:bookmarkEnd w:id="3453"/>
    <w:bookmarkStart w:name="637604909" w:id="34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991. Под каждым масляным трансформатором и аппаратом с массой масла 60 кг и более должен быть устроен маслоприемник в соответствии с требованиями подпункта 2) пункта 979 натсоящих Правил, как для трансформаторов и аппаратов с массой масла более 600 килограмм.</w:t>
      </w:r>
    </w:p>
    <w:bookmarkEnd w:id="3454"/>
    <w:bookmarkStart w:name="637604910" w:id="3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992. Выключатели, устанавливаемые на внутрицеховых подстанциях, должны быть, безмасляные или малообъемные масляные.</w:t>
      </w:r>
    </w:p>
    <w:bookmarkEnd w:id="3455"/>
    <w:bookmarkStart w:name="637604911" w:id="34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баковых масляных выключателей допускается только в закрытых камерах при соблюдении следующих условий:</w:t>
      </w:r>
    </w:p>
    <w:bookmarkEnd w:id="3456"/>
    <w:bookmarkStart w:name="637604912" w:id="34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количество выключателей должно быть не более трех;</w:t>
      </w:r>
    </w:p>
    <w:bookmarkEnd w:id="3457"/>
    <w:bookmarkStart w:name="637604913" w:id="3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масса масла в каждом выключателе должна быть не более 60 килограмм.</w:t>
      </w:r>
    </w:p>
    <w:bookmarkEnd w:id="3458"/>
    <w:bookmarkStart w:name="637604914" w:id="34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993. При устройстве вентиляции камер трансформаторов на подстанциях, размещаемых в производственных помещениях с нормальной средой, разрешается забирать воздух непосредственно из цеха.</w:t>
      </w:r>
    </w:p>
    <w:bookmarkEnd w:id="3459"/>
    <w:bookmarkStart w:name="637604915" w:id="3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p>
    <w:bookmarkEnd w:id="3460"/>
    <w:bookmarkStart w:name="637604916" w:id="3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зданиях с несгораемыми перекрытиями отвод воздуха из камер трансформаторов разрешается непосредственно в цех.</w:t>
      </w:r>
    </w:p>
    <w:bookmarkEnd w:id="3461"/>
    <w:bookmarkStart w:name="637604917" w:id="34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1 м и выполненным в соответствии с пунктом 1119 настоящих Правил.</w:t>
      </w:r>
    </w:p>
    <w:bookmarkEnd w:id="3462"/>
    <w:bookmarkStart w:name="637604918" w:id="34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994.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может не предусматриваться.</w:t>
      </w:r>
    </w:p>
    <w:bookmarkEnd w:id="3463"/>
    <w:bookmarkStart w:name="637604919" w:id="34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995. При установке КТП в отдельных помещениях вентиляция трансформаторов должна отвечать требованиям, приведенным в пункте 979 настоящих Правил.</w:t>
      </w:r>
    </w:p>
    <w:bookmarkEnd w:id="3464"/>
    <w:bookmarkStart w:name="637604920" w:id="3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996. Полы 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p>
    <w:bookmarkEnd w:id="3465"/>
    <w:bookmarkStart w:name="637604921" w:id="34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997. Двери камер маслонаполненных силовых трансформаторов и баковых выключателей должны иметь предел огнестойкости не менее 0,6 чпсов.</w:t>
      </w:r>
    </w:p>
    <w:bookmarkEnd w:id="3466"/>
    <w:bookmarkStart w:name="637604922" w:id="3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998.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повреждений (световая сигнализация, отбойные тумбы).</w:t>
      </w:r>
    </w:p>
    <w:bookmarkEnd w:id="3467"/>
    <w:bookmarkStart w:name="637604923" w:id="34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КРУ и КТП размещаются в пределах «мертвой зоны» работы этих механизмов.</w:t>
      </w:r>
    </w:p>
    <w:bookmarkEnd w:id="3468"/>
    <w:bookmarkStart w:name="637604924" w:id="34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цехах с интенсивным движением внутризаводского транспорта, а также при насыщенности цеха оборудованием, материалами и готовыми изделиями КРУ и КТП ограждаются. При этом, внутри ограждений должны быть выдержаны проходы шириной не менее приведенной в пункте 999 настоящих Правил.</w:t>
      </w:r>
    </w:p>
    <w:bookmarkEnd w:id="3469"/>
    <w:bookmarkStart w:name="637604925" w:id="34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999. Ширина прохода вдоль КРУ и КТП, а также вдоль стен подстанции, имеющих двери или вентиляционные отверстия, должна быть не менее 1 м, кроме того, должна быть обеспечена возможность выкатки трансформаторов и других аппаратов.</w:t>
      </w:r>
    </w:p>
    <w:bookmarkEnd w:id="3470"/>
    <w:bookmarkStart w:name="637604926" w:id="34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1000. 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p>
    <w:bookmarkEnd w:id="3471"/>
    <w:bookmarkStart w:name="637604927" w:id="34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КРУ и КТП в отдельных помещениях ширина прохода должна определяться, исходя из следующих условий:</w:t>
      </w:r>
    </w:p>
    <w:bookmarkEnd w:id="3472"/>
    <w:bookmarkStart w:name="637604928" w:id="34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однорядного исполнения – длина тележки КРУ плюс не менее 0,6 метра;</w:t>
      </w:r>
    </w:p>
    <w:bookmarkEnd w:id="3473"/>
    <w:bookmarkStart w:name="637604929" w:id="34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двухрядного исполнения – длина тележки КРУ плюс не менее 0,8 метра.</w:t>
      </w:r>
    </w:p>
    <w:bookmarkEnd w:id="3474"/>
    <w:bookmarkStart w:name="637604930" w:id="34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всех случаях ширина прохода должна быть не менее приведенной в пункте 963 настоящих Правил (при этом, сужение прохода напротив выкатываемых тележек не допускается) и не менее размера тележки по диагонали.</w:t>
      </w:r>
    </w:p>
    <w:bookmarkEnd w:id="3475"/>
    <w:bookmarkStart w:name="637604931" w:id="34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прохода с задней стороны КРУ и КТП для их осмотра ширина его должна быть не менее 0,8 метра, допускаются отдельные местные сужения не более чем на 0,2 метра.</w:t>
      </w:r>
    </w:p>
    <w:bookmarkEnd w:id="3476"/>
    <w:bookmarkStart w:name="637604932" w:id="34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метра.</w:t>
      </w:r>
    </w:p>
    <w:bookmarkEnd w:id="3477"/>
    <w:bookmarkStart w:name="637604933" w:id="34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1001. Высота помещения должна быть не менее высоты КРУ (КТП), считая от выступающих частей шкафов, плюс 0,8 метра до потолка и 0,3 метра до балок. Допускается меньшая высота помещения, если при этом, обеспечиваются удобство и безопасность замены, ремонта и наладки оборудования КРУ (КТП).</w:t>
      </w:r>
    </w:p>
    <w:bookmarkEnd w:id="3478"/>
    <w:bookmarkStart w:name="637604934" w:id="34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1002. Расчетные нагрузки на перекрытия помещений по пути транспортировки КРУ (КТП) должны приниматься с учетом массы наиболее тяжелой части устройства, а проемы должны соответствовать габаритам транспортируемых частей.</w:t>
      </w:r>
    </w:p>
    <w:bookmarkEnd w:id="3479"/>
    <w:bookmarkStart w:name="637604935" w:id="3480"/>
    <w:p>
      <w:pPr>
        <w:spacing w:before="120" w:after="120" w:line="240"/>
        <w:ind w:left="0"/>
        <w:jc w:val="center"/>
      </w:pPr>
      <w:r>
        <w:rPr>
          <w:rFonts w:hint="default" w:ascii="Times New Roman" w:hAnsi="Times New Roman"/>
          <w:b/>
          <w:i w:val="false"/>
          <w:color w:val="000000"/>
          <w:sz w:val="24"/>
        </w:rPr>
        <w:t>Параграф 5. Столбовые (мачтовые) трансформаторные подстанции</w:t>
      </w:r>
    </w:p>
    <w:bookmarkEnd w:id="3480"/>
    <w:bookmarkStart w:name="637604936" w:id="3481"/>
    <w:p>
      <w:pPr>
        <w:spacing w:before="120" w:after="120" w:line="240"/>
        <w:ind w:left="0"/>
        <w:jc w:val="both"/>
      </w:pPr>
      <w:r>
        <w:rPr>
          <w:rFonts w:hint="default" w:ascii="Times New Roman" w:hAnsi="Times New Roman"/>
          <w:b w:val="false"/>
          <w:i w:val="false"/>
          <w:color w:val="000000"/>
          <w:sz w:val="24"/>
        </w:rPr>
        <w:t>1003. Правила, приведенные в пунктах 1003–1011 настоящих Правил, распространяются на столбовые подстанции до 35 кВ мощностью не более 0,4 МВ</w:t>
      </w:r>
      <w:r>
        <w:rPr>
          <w:rFonts w:hint="default" w:ascii="Times New Roman" w:hAnsi="Times New Roman"/>
          <w:b w:val="false"/>
          <w:i w:val="false"/>
          <w:color w:val="000000"/>
          <w:vertAlign w:val="superscript"/>
        </w:rPr>
        <w:t>.</w:t>
      </w:r>
      <w:r>
        <w:rPr>
          <w:rFonts w:hint="default" w:ascii="Times New Roman" w:hAnsi="Times New Roman"/>
          <w:b w:val="false"/>
          <w:i w:val="false"/>
          <w:color w:val="000000"/>
          <w:sz w:val="24"/>
        </w:rPr>
        <w:t xml:space="preserve"> А.</w:t>
      </w:r>
    </w:p>
    <w:bookmarkEnd w:id="3481"/>
    <w:bookmarkStart w:name="637604937" w:id="3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1004.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устанавливается на концевой опоре ВЛ.</w:t>
      </w:r>
    </w:p>
    <w:bookmarkEnd w:id="3482"/>
    <w:bookmarkStart w:name="637604938" w:id="3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1005. Трансформатор должен быть установлен на высоте не менее 4,5 метра, считая от земли до токоведущих частей. Для обслуживания подстанций на высоте не менее 3 метров должна быть устроена площадка с перилами. Для подъема на площадку применяются лестницы с устройством, сблокированным с разъединителем и запрещающим подъем по лестнице при включенном разъединителе.</w:t>
      </w:r>
    </w:p>
    <w:bookmarkEnd w:id="3483"/>
    <w:bookmarkStart w:name="637604939" w:id="34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подстанций, расположенных на одностоечных опорах, устройство площадок и лестниц не обязательно.</w:t>
      </w:r>
    </w:p>
    <w:bookmarkEnd w:id="3484"/>
    <w:bookmarkStart w:name="637604940" w:id="34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1006. Части, остающиеся под напряжением при отключенном положении разъединителя, должны находиться на высоте не менее 2,5 метра от уровня площадки обслуживания для подстанций 10 кВ и не менее 3,1 метра для подстанций 35 кВ. Положение разъединителя должно быть видно с площадки. Разъединитель должен иметь заземляющие ножи со стороны трансформатора.</w:t>
      </w:r>
    </w:p>
    <w:bookmarkEnd w:id="3485"/>
    <w:bookmarkStart w:name="637604941" w:id="34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1007. Щиток низшего напряжения подстанции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p>
    <w:bookmarkEnd w:id="3486"/>
    <w:bookmarkStart w:name="637604942" w:id="34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1008.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выполняться в соответствии с требованиями, приведенными в главе 11 настоящих Правил.</w:t>
      </w:r>
    </w:p>
    <w:bookmarkEnd w:id="3487"/>
    <w:bookmarkStart w:name="637604943" w:id="34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1009. Расстояние от земли до изоляторов вывода на ВЛ до 1 кВ должно быть не менее 4 метра.</w:t>
      </w:r>
    </w:p>
    <w:bookmarkEnd w:id="3488"/>
    <w:bookmarkStart w:name="637604944" w:id="3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1010. По условию пожарной безопасности подстанция должна быть расположена на расстоянии не менее 3 метра от зданий I, II и III степеней огнестойкости и 5 метра от зданий IV и V степеней огнестойкости.</w:t>
      </w:r>
    </w:p>
    <w:bookmarkEnd w:id="3489"/>
    <w:bookmarkStart w:name="637604945" w:id="3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1011. Конструкции столбовых подстанций, используемые как опоры ВЛ, должны быть анкерными или концевыми. Это требование не распространяется на одностоечные подстанции.</w:t>
      </w:r>
    </w:p>
    <w:bookmarkEnd w:id="3490"/>
    <w:bookmarkStart w:name="637604946" w:id="3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1012. В местах возможного наезда транспорта столбовые подстанции должны быть защищены отбойными тумбами.</w:t>
      </w:r>
    </w:p>
    <w:bookmarkEnd w:id="3491"/>
    <w:bookmarkStart w:name="637604947" w:id="3492"/>
    <w:p>
      <w:pPr>
        <w:spacing w:before="120" w:after="120" w:line="240"/>
        <w:ind w:left="0"/>
        <w:jc w:val="center"/>
      </w:pPr>
      <w:r>
        <w:rPr>
          <w:rFonts w:hint="default" w:ascii="Times New Roman" w:hAnsi="Times New Roman"/>
          <w:b/>
          <w:i w:val="false"/>
          <w:color w:val="000000"/>
          <w:sz w:val="24"/>
        </w:rPr>
        <w:t>Параграф 6. Защита от грозовых перенапряжений</w:t>
      </w:r>
    </w:p>
    <w:bookmarkEnd w:id="3492"/>
    <w:bookmarkStart w:name="637604948" w:id="34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1013. Открытые распределительные устройства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МВЧА и менее независимо от числа грозовых часов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ОмЧм при числе грозовых часов в году не более 20.</w:t>
      </w:r>
    </w:p>
    <w:bookmarkEnd w:id="3493"/>
    <w:bookmarkStart w:name="637604949" w:id="34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Здания ЗРУ и закрытых подстанций защищаются от прямых ударов молнии в районах с числом грозовых часов в году более 20.</w:t>
      </w:r>
    </w:p>
    <w:bookmarkEnd w:id="3494"/>
    <w:bookmarkStart w:name="637604950" w:id="34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Защиту зданий ЗРУ и закрытых подстанций, имеющих металлические покрытия кровли или железобетонные несущие конструкции кровли, выполняются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может быть заземлена, устанавливаются стержневые молниеотводы или молниеприемные сетки непосредственно на крыше зданий.</w:t>
      </w:r>
    </w:p>
    <w:bookmarkEnd w:id="3495"/>
    <w:bookmarkStart w:name="637604951" w:id="3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w:t>
      </w:r>
    </w:p>
    <w:bookmarkEnd w:id="3496"/>
    <w:bookmarkStart w:name="637604952" w:id="34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1014. Защита от прямых ударов молнии ОРУ 220 кВ и выше выполняется стержневыми молниеотводами, устанавливаемыми, на конструкциях ОРУ. Используются также защитное действие высоких объектов, которые являются молниеприемниками (опоры ВЛ, прожекторные мачты, радиомачты). Установка молниеотводов на порталах, расположенных вблизи трансформаторов или шунтирующих реакторов, допускается при выполнении требований пункта 1014 настоящих Правил.</w:t>
      </w:r>
    </w:p>
    <w:bookmarkEnd w:id="3497"/>
    <w:bookmarkStart w:name="637604953" w:id="3498"/>
    <w:p>
      <w:pPr>
        <w:spacing w:before="120" w:after="120" w:line="240"/>
        <w:ind w:left="0"/>
        <w:jc w:val="both"/>
      </w:pPr>
      <w:r>
        <w:rPr>
          <w:rFonts w:hint="default" w:ascii="Times New Roman" w:hAnsi="Times New Roman"/>
          <w:b w:val="false"/>
          <w:i w:val="false"/>
          <w:color w:val="000000"/>
          <w:sz w:val="24"/>
        </w:rPr>
        <w:t>На конструкциях ОРУ 110 кВ стержневые молниеотводы устанавливаются при эквивалентном удельном сопротивлении земли в грозовой сезон до 1000 ОмЧм – независимо от площади заземляющего контура подстанции более 1000 и до 2000 ОмЧм – при площади заземляющего контура подстанции 10 000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более.</w:t>
      </w:r>
    </w:p>
    <w:bookmarkEnd w:id="3498"/>
    <w:bookmarkStart w:name="637604954" w:id="34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3–5 м на расстоянии не менее длины электрода от стойки, на которой установлен молниеотвод.</w:t>
      </w:r>
    </w:p>
    <w:bookmarkEnd w:id="3499"/>
    <w:bookmarkStart w:name="637604955" w:id="35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молниеотводов на конструкциях ОРУ 35 кВ допускается при эквивалентном удельном сопротивлении земли в грозовой сезон:</w:t>
      </w:r>
    </w:p>
    <w:bookmarkEnd w:id="3500"/>
    <w:bookmarkStart w:name="637604956" w:id="35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до 500 ОмЧм независимо от площади заземляющего контура подстанции;</w:t>
      </w:r>
    </w:p>
    <w:bookmarkEnd w:id="3501"/>
    <w:bookmarkStart w:name="637604957" w:id="3502"/>
    <w:p>
      <w:pPr>
        <w:spacing w:before="120" w:after="120" w:line="240"/>
        <w:ind w:left="0"/>
        <w:jc w:val="both"/>
      </w:pPr>
      <w:r>
        <w:rPr>
          <w:rFonts w:hint="default" w:ascii="Times New Roman" w:hAnsi="Times New Roman"/>
          <w:b w:val="false"/>
          <w:i w:val="false"/>
          <w:color w:val="000000"/>
          <w:sz w:val="24"/>
        </w:rPr>
        <w:t>2) более 500 и до 750 ОмЧм при площади заземляющего контура подстанции 10 000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более.</w:t>
      </w:r>
    </w:p>
    <w:bookmarkEnd w:id="3502"/>
    <w:bookmarkStart w:name="637604958" w:id="35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p>
    <w:bookmarkEnd w:id="3503"/>
    <w:bookmarkStart w:name="637604959" w:id="35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загрязненности атмосферы.</w:t>
      </w:r>
    </w:p>
    <w:bookmarkEnd w:id="3504"/>
    <w:bookmarkStart w:name="637604960" w:id="35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по воздуху от конструкций ОРУ, на которых установлены молниеотводы, до токоведущих частей, должно быть не менее длины гирлянды.</w:t>
      </w:r>
    </w:p>
    <w:bookmarkEnd w:id="3505"/>
    <w:bookmarkStart w:name="637604961" w:id="35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1015.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15 м, молниеотводы устанавливаются при эквивалентном удельном сопротивлении земли в грозовой сезон не более 350 ОмЧм и при соблюдении следующих условий:</w:t>
      </w:r>
    </w:p>
    <w:bookmarkEnd w:id="3506"/>
    <w:bookmarkStart w:name="637604962" w:id="35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непосредственно на всех 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p>
    <w:bookmarkEnd w:id="3507"/>
    <w:bookmarkStart w:name="637604963" w:id="35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должно быть обеспечено растекание тока молнии от стойки конструкции с молниеотводом по трем-четырем магистралям заземления;</w:t>
      </w:r>
    </w:p>
    <w:bookmarkEnd w:id="3508"/>
    <w:bookmarkStart w:name="637604964" w:id="35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магистралях заземления, на расстоянии 3–5 м от стойки с молниеотводом, должно быть установлено два-три вертикальных электрода длиной 5 м.;</w:t>
      </w:r>
    </w:p>
    <w:bookmarkEnd w:id="3509"/>
    <w:bookmarkStart w:name="637604965" w:id="35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 подстанциях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bookmarkEnd w:id="3510"/>
    <w:bookmarkStart w:name="637604966" w:id="35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заземляющие проводники вентильных разрядников и трансформаторов присоединяются к заземляющему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p>
    <w:bookmarkEnd w:id="3511"/>
    <w:bookmarkStart w:name="637604967" w:id="35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1016.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выполняется отдельно стоящими молниеотводами, имеющими обособленные заземлители с сопротивлением не более 80 Ом.</w:t>
      </w:r>
    </w:p>
    <w:bookmarkEnd w:id="3512"/>
    <w:bookmarkStart w:name="637604968" w:id="3513"/>
    <w:p>
      <w:pPr>
        <w:spacing w:before="120" w:after="120" w:line="240"/>
        <w:ind w:left="0"/>
        <w:jc w:val="both"/>
      </w:pPr>
      <w:r>
        <w:rPr>
          <w:rFonts w:hint="default" w:ascii="Times New Roman" w:hAnsi="Times New Roman"/>
          <w:b w:val="false"/>
          <w:i w:val="false"/>
          <w:color w:val="000000"/>
          <w:sz w:val="24"/>
        </w:rPr>
        <w:t>Расстояние S</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 м, между обособленным заземлителем молниеотвода и заземляющим устройством ОРУ (подстанции) должно быть равным (но не менее 3 м)</w:t>
      </w:r>
    </w:p>
    <w:bookmarkEnd w:id="3513"/>
    <w:bookmarkStart w:name="637604969" w:id="3514"/>
    <w:p>
      <w:pPr>
        <w:spacing w:before="120" w:after="120" w:line="240"/>
        <w:ind w:left="0"/>
        <w:jc w:val="center"/>
      </w:pPr>
      <w:r>
        <w:rPr>
          <w:rFonts w:hint="default" w:ascii="Times New Roman" w:hAnsi="Times New Roman"/>
          <w:b w:val="false"/>
          <w:i w:val="false"/>
          <w:color w:val="000000"/>
          <w:sz w:val="24"/>
        </w:rPr>
        <w:t>S</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u w:val="single"/>
        </w:rPr>
        <w:t>&gt;</w:t>
      </w:r>
      <w:r>
        <w:rPr>
          <w:rFonts w:hint="default" w:ascii="Times New Roman" w:hAnsi="Times New Roman"/>
          <w:b w:val="false"/>
          <w:i w:val="false"/>
          <w:color w:val="000000"/>
          <w:sz w:val="24"/>
        </w:rPr>
        <w:t xml:space="preserve"> 0,2R</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w:t>
      </w:r>
    </w:p>
    <w:bookmarkEnd w:id="3514"/>
    <w:bookmarkStart w:name="637604970" w:id="3515"/>
    <w:p>
      <w:pPr>
        <w:spacing w:before="120" w:after="120" w:line="240"/>
        <w:ind w:left="0"/>
        <w:jc w:val="both"/>
      </w:pPr>
      <w:r>
        <w:rPr>
          <w:rFonts w:hint="default" w:ascii="Times New Roman" w:hAnsi="Times New Roman"/>
          <w:b w:val="false"/>
          <w:i w:val="false"/>
          <w:color w:val="000000"/>
          <w:sz w:val="24"/>
        </w:rPr>
        <w:t>где R</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 сопротивление заземления отдельно стоящего молниеотвода, которое должно быть не более 40 Ом. При этом, грозотрос не должен заводиться на линейный портал, а первый пролет должен быть защищен отдельно стоящим молниеотводом.</w:t>
      </w:r>
    </w:p>
    <w:bookmarkEnd w:id="3515"/>
    <w:bookmarkStart w:name="637604971" w:id="3516"/>
    <w:p>
      <w:pPr>
        <w:spacing w:before="120" w:after="120" w:line="240"/>
        <w:ind w:left="0"/>
        <w:jc w:val="both"/>
      </w:pPr>
      <w:r>
        <w:rPr>
          <w:rFonts w:hint="default" w:ascii="Times New Roman" w:hAnsi="Times New Roman"/>
          <w:b w:val="false"/>
          <w:i w:val="false"/>
          <w:color w:val="000000"/>
          <w:sz w:val="24"/>
        </w:rPr>
        <w:t>Расстояние по воздуху S</w:t>
      </w:r>
      <w:r>
        <w:rPr>
          <w:rFonts w:hint="default" w:ascii="Times New Roman" w:hAnsi="Times New Roman"/>
          <w:b w:val="false"/>
          <w:i w:val="false"/>
          <w:color w:val="000000"/>
          <w:vertAlign w:val="subscript"/>
        </w:rPr>
        <w:t>в,o</w:t>
      </w:r>
      <w:r>
        <w:rPr>
          <w:rFonts w:hint="default" w:ascii="Times New Roman" w:hAnsi="Times New Roman"/>
          <w:b w:val="false"/>
          <w:i w:val="false"/>
          <w:color w:val="000000"/>
          <w:sz w:val="24"/>
        </w:rPr>
        <w:t xml:space="preserve"> , м, от отдельно стоящего молниеотвода с обособленным заземлителем до токоведущих частей, заземленных конструкций и оборудования ОРУ (подстанции) должно быть равным (но не менее 5 м)</w:t>
      </w:r>
    </w:p>
    <w:bookmarkEnd w:id="3516"/>
    <w:bookmarkStart w:name="637604972" w:id="3517"/>
    <w:p>
      <w:pPr>
        <w:spacing w:before="120" w:after="120" w:line="240"/>
        <w:ind w:left="0"/>
        <w:jc w:val="center"/>
      </w:pPr>
      <w:r>
        <w:rPr>
          <w:rFonts w:hint="default" w:ascii="Times New Roman" w:hAnsi="Times New Roman"/>
          <w:b w:val="false"/>
          <w:i w:val="false"/>
          <w:color w:val="000000"/>
          <w:sz w:val="24"/>
        </w:rPr>
        <w:t>S</w:t>
      </w:r>
      <w:r>
        <w:rPr>
          <w:rFonts w:hint="default" w:ascii="Times New Roman" w:hAnsi="Times New Roman"/>
          <w:b w:val="false"/>
          <w:i w:val="false"/>
          <w:color w:val="000000"/>
          <w:vertAlign w:val="subscript"/>
        </w:rPr>
        <w:t>в,o</w:t>
      </w:r>
      <w:r>
        <w:rPr>
          <w:rFonts w:hint="default" w:ascii="Times New Roman" w:hAnsi="Times New Roman"/>
          <w:b w:val="false"/>
          <w:i w:val="false"/>
          <w:color w:val="000000"/>
          <w:sz w:val="24"/>
        </w:rPr>
        <w:t xml:space="preserve"> &gt; 0,12 R</w:t>
      </w:r>
      <w:r>
        <w:rPr>
          <w:rFonts w:hint="default" w:ascii="Times New Roman" w:hAnsi="Times New Roman"/>
          <w:b w:val="false"/>
          <w:i w:val="false"/>
          <w:color w:val="000000"/>
          <w:vertAlign w:val="subscript"/>
        </w:rPr>
        <w:t>з</w:t>
      </w:r>
      <w:r>
        <w:rPr>
          <w:rFonts w:hint="default" w:ascii="Times New Roman" w:hAnsi="Times New Roman"/>
          <w:b w:val="false"/>
          <w:i w:val="false"/>
          <w:color w:val="000000"/>
          <w:sz w:val="24"/>
        </w:rPr>
        <w:t xml:space="preserve"> + 0,1 Н,</w:t>
      </w:r>
    </w:p>
    <w:bookmarkEnd w:id="3517"/>
    <w:bookmarkStart w:name="637604973" w:id="35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где Н – высота рассматриваемой точки молниеотвода над уровнем земли, м.</w:t>
      </w:r>
    </w:p>
    <w:bookmarkEnd w:id="3518"/>
    <w:bookmarkStart w:name="637604974" w:id="35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Заземлители отдельно стоящих молниеотводов в ОРУ присоединяются к заземляющему устройству ОРУ (подстанции) при соблюдении указанных в пункте 1013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35–110кВ должно быть выполнено два-три направления по магистралям заземления.</w:t>
      </w:r>
    </w:p>
    <w:bookmarkEnd w:id="3519"/>
    <w:bookmarkStart w:name="637604975" w:id="35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пункте 1013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p>
    <w:bookmarkEnd w:id="3520"/>
    <w:bookmarkStart w:name="637604976" w:id="35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расстоянии 5 м от молниеотвода устанавливаются три-четыре вертикальных электрода длиной 3–5 м.;</w:t>
      </w:r>
    </w:p>
    <w:bookmarkEnd w:id="3521"/>
    <w:bookmarkStart w:name="637604977" w:id="35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кВ трансформатора должны быть установлены вентильные разрядники.</w:t>
      </w:r>
    </w:p>
    <w:bookmarkEnd w:id="3522"/>
    <w:bookmarkStart w:name="637604978" w:id="3523"/>
    <w:p>
      <w:pPr>
        <w:spacing w:before="120" w:after="120" w:line="240"/>
        <w:ind w:left="0"/>
        <w:jc w:val="both"/>
      </w:pPr>
      <w:r>
        <w:rPr>
          <w:rFonts w:hint="default" w:ascii="Times New Roman" w:hAnsi="Times New Roman"/>
          <w:b w:val="false"/>
          <w:i w:val="false"/>
          <w:color w:val="000000"/>
          <w:sz w:val="24"/>
        </w:rPr>
        <w:t>Расстояние по воздуху S</w:t>
      </w:r>
      <w:r>
        <w:rPr>
          <w:rFonts w:hint="default" w:ascii="Times New Roman" w:hAnsi="Times New Roman"/>
          <w:b w:val="false"/>
          <w:i w:val="false"/>
          <w:color w:val="000000"/>
          <w:vertAlign w:val="subscript"/>
        </w:rPr>
        <w:t>в,с</w:t>
      </w:r>
      <w:r>
        <w:rPr>
          <w:rFonts w:hint="default" w:ascii="Times New Roman" w:hAnsi="Times New Roman"/>
          <w:b w:val="false"/>
          <w:i w:val="false"/>
          <w:color w:val="000000"/>
          <w:sz w:val="24"/>
        </w:rPr>
        <w:t xml:space="preserve"> , м, от отдельно стоящего молниеотвода, заземлитель которого соединен с заземляющим устройством ОРУ (подстанции), до токоведущих частей должно составлять:</w:t>
      </w:r>
    </w:p>
    <w:bookmarkEnd w:id="3523"/>
    <w:bookmarkStart w:name="637604979" w:id="3524"/>
    <w:p>
      <w:pPr>
        <w:spacing w:before="120" w:after="120" w:line="240"/>
        <w:ind w:left="0"/>
        <w:jc w:val="center"/>
      </w:pPr>
      <w:r>
        <w:rPr>
          <w:rFonts w:hint="default" w:ascii="Times New Roman" w:hAnsi="Times New Roman"/>
          <w:b w:val="false"/>
          <w:i w:val="false"/>
          <w:color w:val="000000"/>
          <w:sz w:val="24"/>
        </w:rPr>
        <w:t>S</w:t>
      </w:r>
      <w:r>
        <w:rPr>
          <w:rFonts w:hint="default" w:ascii="Times New Roman" w:hAnsi="Times New Roman"/>
          <w:b w:val="false"/>
          <w:i w:val="false"/>
          <w:color w:val="000000"/>
          <w:vertAlign w:val="subscript"/>
        </w:rPr>
        <w:t>в,с</w:t>
      </w:r>
      <w:r>
        <w:rPr>
          <w:rFonts w:hint="default" w:ascii="Times New Roman" w:hAnsi="Times New Roman"/>
          <w:b w:val="false"/>
          <w:i w:val="false"/>
          <w:color w:val="000000"/>
          <w:sz w:val="24"/>
        </w:rPr>
        <w:t xml:space="preserve"> &gt; 0,1 Н + т,</w:t>
      </w:r>
    </w:p>
    <w:bookmarkEnd w:id="3524"/>
    <w:bookmarkStart w:name="637604980" w:id="3525"/>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где Н – высота токоведущих частей над уровнем земли, м;</w:t>
      </w:r>
    </w:p>
    <w:bookmarkEnd w:id="3525"/>
    <w:bookmarkStart w:name="637604981" w:id="35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 – длина гирлянды изоляторов, м.</w:t>
      </w:r>
    </w:p>
    <w:bookmarkEnd w:id="3526"/>
    <w:bookmarkStart w:name="637604982" w:id="35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1017. Тросовые молниеотводы на подходах ВЛ 35 кВ к тем ОРУ, к которым не допускается их присоединение, должны заканчиваться на ближайшей к ОРУ опоре. От стоек конструкций ОРУ 110 и 150 кВ, к которым присоединены тросовые молниеотводы, должно быть выполнено два-три направления магистралей заземления. Первый от ОРУ бестросовый пролет этих ВЛ должен быть защищен стержневыми молниеотводами, устанавливаемыми на подстанциях, опорах ВЛ или около ВЛ.</w:t>
      </w:r>
    </w:p>
    <w:bookmarkEnd w:id="3527"/>
    <w:bookmarkStart w:name="637604983" w:id="3528"/>
    <w:p>
      <w:pPr>
        <w:spacing w:before="120" w:after="120" w:line="240"/>
        <w:ind w:left="0"/>
        <w:jc w:val="both"/>
      </w:pPr>
      <w:r>
        <w:rPr>
          <w:rFonts w:hint="default" w:ascii="Times New Roman" w:hAnsi="Times New Roman"/>
          <w:b w:val="false"/>
          <w:i w:val="false"/>
          <w:color w:val="000000"/>
          <w:sz w:val="24"/>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 м – независимо от площади заземляющего контура подстанции более 750 и до 1000 ОмЧм – при площади заземляющего контура подстанции 10 000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 более.</w:t>
      </w:r>
    </w:p>
    <w:bookmarkEnd w:id="3528"/>
    <w:bookmarkStart w:name="637604984" w:id="35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p>
    <w:bookmarkEnd w:id="3529"/>
    <w:bookmarkStart w:name="637604985" w:id="35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заземлителя ближайшей к ОРУ опоры ВЛ 35 кВ не должно превышать 10 Ом.</w:t>
      </w:r>
    </w:p>
    <w:bookmarkEnd w:id="3530"/>
    <w:bookmarkStart w:name="637604986" w:id="35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1018.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p>
    <w:bookmarkEnd w:id="3531"/>
    <w:bookmarkStart w:name="637604987" w:id="35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1019. Устройство и защита подходов ВЛ к ОРУ и подстанциям должны отвечать помимо требований, приведенных в пунктах 1016, 1021–1026, 1027–1040 настоящих Правил.</w:t>
      </w:r>
    </w:p>
    <w:bookmarkEnd w:id="3532"/>
    <w:bookmarkStart w:name="637604988" w:id="35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Вместо вентильных и трубчатых разрядников во всех случаях применяются ограничители перенапряжений.</w:t>
      </w:r>
    </w:p>
    <w:bookmarkEnd w:id="3533"/>
    <w:bookmarkStart w:name="637604989" w:id="35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1020. Не допускается установка молниеотводов на конструкциях ОРУ, находящихся на расстоянии менее 15 метра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p>
    <w:bookmarkEnd w:id="3534"/>
    <w:bookmarkStart w:name="637604990" w:id="35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p>
    <w:bookmarkEnd w:id="3535"/>
    <w:bookmarkStart w:name="637604991" w:id="35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1021.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10 метра.</w:t>
      </w:r>
    </w:p>
    <w:bookmarkEnd w:id="3536"/>
    <w:bookmarkStart w:name="637604992" w:id="35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подстанции.</w:t>
      </w:r>
    </w:p>
    <w:bookmarkEnd w:id="3537"/>
    <w:bookmarkStart w:name="637604993" w:id="35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1022.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таблице 134 приложения к настоящим Правилам.</w:t>
      </w:r>
    </w:p>
    <w:bookmarkEnd w:id="3538"/>
    <w:bookmarkStart w:name="637604994" w:id="35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каждой опоре подхода трос должен быть присоединен к заземлителю опоры.</w:t>
      </w:r>
    </w:p>
    <w:bookmarkEnd w:id="3539"/>
    <w:bookmarkStart w:name="637604995" w:id="35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районах со слабой интенсивностью грозовой деятельности допускается увеличение по сравнению с приведенными в таблице 134 приложения к настоящим Правилам сопротивлений заземляющих устройств опор на подходах ВЛ 35–220 кВ к подстанциям при числе грозовых часов в году менее 20 – в 1,5 раза менее 10 – в 3 раза.</w:t>
      </w:r>
    </w:p>
    <w:bookmarkEnd w:id="3540"/>
    <w:bookmarkStart w:name="637604996" w:id="35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выполнение заземлителей с требуемыми сопротивлениями заземления оказывается невозможным, должны быть применены заземлители-противовесы.</w:t>
      </w:r>
    </w:p>
    <w:bookmarkEnd w:id="3541"/>
    <w:bookmarkStart w:name="637604997" w:id="35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особо гололедных районах и в районах с эквивалентным удельным сопротивлением земли более 1000 Ом 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p>
    <w:bookmarkEnd w:id="3542"/>
    <w:bookmarkStart w:name="637604998" w:id="35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1023.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МВ А каждый или с одним трансформатором мощностью до 1,6 МВ А и наличием резервного питания нагрузки со стороны низшего напряжения. При этом, опоры подхода ВЛ к подстанциям на длине не менее 0,5 км должны иметь заземлители с сопротивлением, указанным в таблице 134 приложения к настоящим Правилам. При выполнении ВЛ на деревянных опорах, кроме того, требуется на подходе ВЛ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bookmarkEnd w:id="3543"/>
    <w:bookmarkStart w:name="637604999" w:id="35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резервного питания на подстанции с одним трансформатором мощностью до 1,6 МВЧА подходы ВЛ 35 кВ к подстанции должны быть защищены тросом на длине не менее 0,5 км.</w:t>
      </w:r>
    </w:p>
    <w:bookmarkEnd w:id="3544"/>
    <w:bookmarkStart w:name="637605000" w:id="35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1024. На первой опоре подхода к подстанциям ВЛ 35–220 кВ, считая со стороны линии, должен быть установлен комплект трубчатых разрядников (РТ1) в следующих случаях:</w:t>
      </w:r>
    </w:p>
    <w:bookmarkEnd w:id="3545"/>
    <w:bookmarkStart w:name="637605001" w:id="35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линия по всей длине, включая подход, построена на деревянных опорах;</w:t>
      </w:r>
    </w:p>
    <w:bookmarkEnd w:id="3546"/>
    <w:bookmarkStart w:name="637605002" w:id="35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линия построена на деревянных опорах, подход линии – на металлических или железобетонных опорах;</w:t>
      </w:r>
    </w:p>
    <w:bookmarkEnd w:id="3547"/>
    <w:bookmarkStart w:name="637605003" w:id="35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подходах ВЛ 35 кВ на деревянных опорах к подстанциям 35 кВ, защита которых выполняется упрощенно в соответствии с пунктом 1022 настоящих Правил.</w:t>
      </w:r>
    </w:p>
    <w:bookmarkEnd w:id="3548"/>
    <w:bookmarkStart w:name="637605004" w:id="35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РТ1 в начале подходов ВЛ, построенных по всей длине на металлических или железобетонных опорах, не требуется.</w:t>
      </w:r>
    </w:p>
    <w:bookmarkEnd w:id="3549"/>
    <w:bookmarkStart w:name="637605005" w:id="35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заземляющего устройства опор с трубчатыми разрядниками должно быть не более 10 Ом при удельном сопротивлении земли не выше 1000 Ом м и не более 15 Ом при более высоком удельном сопротивлении. На деревянных опорах заземляющие спуски от РТ1 должны быть проложены по всем стойкам.</w:t>
      </w:r>
    </w:p>
    <w:bookmarkEnd w:id="3550"/>
    <w:bookmarkStart w:name="637605006" w:id="35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35–110 кВ, которые имеют защиту тросом не по всей длине и в грозовой сезон могут быть длительно отключены с одной стороны, устанавливается комплект трубчатых разрядников (РТ2) на входных порталах или на первой от подстанции опоре того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p>
    <w:bookmarkEnd w:id="3551"/>
    <w:bookmarkStart w:name="637605007" w:id="35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РТ2 до отключенного аппарата должно быть не более 60 м для ВЛ 110 кВ и не более 40 м – для ВЛ напряжением 35 кВ.</w:t>
      </w:r>
    </w:p>
    <w:bookmarkEnd w:id="3552"/>
    <w:bookmarkStart w:name="637605008" w:id="35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1025.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соответствующего рабочему напряжению линии.</w:t>
      </w:r>
    </w:p>
    <w:bookmarkEnd w:id="3553"/>
    <w:bookmarkStart w:name="637605009" w:id="35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p>
    <w:bookmarkEnd w:id="3554"/>
    <w:bookmarkStart w:name="637605010" w:id="35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p>
    <w:bookmarkEnd w:id="3555"/>
    <w:bookmarkStart w:name="637605011" w:id="35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1026. Трубчатые разрядники должны быть выбраны по токам КЗ в соответствии со следующими требованиями:</w:t>
      </w:r>
    </w:p>
    <w:bookmarkEnd w:id="3556"/>
    <w:bookmarkStart w:name="637605012" w:id="35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p>
    <w:bookmarkEnd w:id="3557"/>
    <w:bookmarkStart w:name="637605013" w:id="35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сетей 110 кВ и выше с большим током замыкания на землю трубчатый разрядник выбирается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p>
    <w:bookmarkEnd w:id="3558"/>
    <w:bookmarkStart w:name="637605014" w:id="35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bookmarkEnd w:id="3559"/>
    <w:bookmarkStart w:name="637605015" w:id="35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Размеры основных защитных промежутков приведены в таблице 135 приложения к настоящим Правилам.</w:t>
      </w:r>
    </w:p>
    <w:bookmarkEnd w:id="3560"/>
    <w:bookmarkStart w:name="637605016" w:id="35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1027. На ВЛ до 35 кВ с деревянными опорами в заземляющих спусках защитных промежутков выполняются дополнительные защитные промежутки, установленные на высоте не менее 2,5 м от земли. Размеры дополнительных защитных промежутков приведены в таблице 135 приложения к настоящим Правилам.</w:t>
      </w:r>
    </w:p>
    <w:bookmarkEnd w:id="3561"/>
    <w:bookmarkStart w:name="637605017" w:id="35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1028. В РУ 35 кВ и выше, к которым присоединены ВЛ, должны быть установлены вентильные разрядники (ограничители перенапряжения).</w:t>
      </w:r>
    </w:p>
    <w:bookmarkEnd w:id="3562"/>
    <w:bookmarkStart w:name="637605018" w:id="35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Вентильные разрядники (ограничители перенапряжения) выбираются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примененяются вентильные разрядники (ограничители перенапряжения) с характеристиками выше требуемых по условиям координации изоляции.</w:t>
      </w:r>
    </w:p>
    <w:bookmarkEnd w:id="3563"/>
    <w:bookmarkStart w:name="637605019" w:id="35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по шинам, включая ответвления, от разрядников до трансформаторов и аппаратов должны быть не более указанных в таблице 136 приложения к настоящим Правилам.</w:t>
      </w:r>
    </w:p>
    <w:bookmarkEnd w:id="3564"/>
    <w:bookmarkStart w:name="637605020" w:id="35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Определение наибольших допустимых расстояний между вентильными разрядниками (ограничителями перенапряжения) и защищаемым оборудованием производится, исходя из количества линий и вентильных разрядников (ограничители перенапряжения), включенных в нормальном режиме работы РУ (подстанции).</w:t>
      </w:r>
    </w:p>
    <w:bookmarkEnd w:id="3565"/>
    <w:bookmarkStart w:name="637605021" w:id="35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Количество и места установки вентильных разрядников (ограничителей перенапряжения) выбираются,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(ограничителей перенапряжения)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p>
    <w:bookmarkEnd w:id="3566"/>
    <w:bookmarkStart w:name="637605022" w:id="35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1029. Вентильные разрядники (ограничители перенапряжения)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p>
    <w:bookmarkEnd w:id="3567"/>
    <w:bookmarkStart w:name="637605023" w:id="35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обмоток всех напряжений силовых трансформаторов, имеющих автотрансформаторную связь;</w:t>
      </w:r>
    </w:p>
    <w:bookmarkEnd w:id="3568"/>
    <w:bookmarkStart w:name="637605024" w:id="35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обмоток 220 и 500 кВ трансформаторов;</w:t>
      </w:r>
    </w:p>
    <w:bookmarkEnd w:id="3569"/>
    <w:bookmarkStart w:name="637605025" w:id="35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обмоток 110 и 220 кВ трансформаторов, имеющих уровень изоляции.</w:t>
      </w:r>
    </w:p>
    <w:bookmarkEnd w:id="3570"/>
    <w:bookmarkStart w:name="637605026" w:id="35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шунтирующих реакторов 110–500 кВ и цепей коммутируемых вакуумными выключателями до 35 кВ должны использоваться ограничители перенапряжений.</w:t>
      </w:r>
    </w:p>
    <w:bookmarkEnd w:id="3571"/>
    <w:bookmarkStart w:name="637605027" w:id="35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вентильных разрядников (ограничителей перенапряжения) до трансформаторов (автотрансформаторов, шунтирующих реакторов) и до аппаратов должны быть не более приведенных в таблице 136 и 137 приложения настоящих Правил. При превышении указанных расстояний должны быть дополнительно установлены разрядники на шинах.</w:t>
      </w:r>
    </w:p>
    <w:bookmarkEnd w:id="3572"/>
    <w:bookmarkStart w:name="637605028" w:id="35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1030.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(ограничителей перенапряжения). Заземляющий зажим разрядника должен быть присоединен к металлическим оболочкам кабеля.</w:t>
      </w:r>
    </w:p>
    <w:bookmarkEnd w:id="3573"/>
    <w:bookmarkStart w:name="637605029" w:id="35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выбирается возможно ближе к местам присоединения кабелей.</w:t>
      </w:r>
    </w:p>
    <w:bookmarkEnd w:id="3574"/>
    <w:bookmarkStart w:name="637605030" w:id="35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1031.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(ограничителями перенапряжения),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p>
    <w:bookmarkEnd w:id="3575"/>
    <w:bookmarkStart w:name="637605031" w:id="35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bookmarkEnd w:id="3576"/>
    <w:bookmarkStart w:name="637605032" w:id="35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1032.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устанавливаются вентильные разрядники (ограничители перенапряжения). В нейтрали трансформаторов, изоляция которой не допускает разземления, установка разъединителей не допускается.</w:t>
      </w:r>
    </w:p>
    <w:bookmarkEnd w:id="3577"/>
    <w:bookmarkStart w:name="637605033" w:id="35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1033. Шунтирующие реакторы 500 кВ должны быть защищены от грозовых и внутренних перенапряжений ограничителями перенапряжений, устанавливаемыми на присоединениях реакторов.</w:t>
      </w:r>
    </w:p>
    <w:bookmarkEnd w:id="3578"/>
    <w:bookmarkStart w:name="637605034" w:id="35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1034. Распределительные устройства до 20 кВ, к которым присоединены ВЛ, должны быть защищены вентильными разрядниками (ограничителями перенапряжения), установленными на шинах или у трансформатора.</w:t>
      </w:r>
    </w:p>
    <w:bookmarkEnd w:id="3579"/>
    <w:bookmarkStart w:name="637605035" w:id="35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РУ до 10 кВ при выполнении связи трансформаторов с шинами при помощи кабелей расстояния от вентильных разрядников (ограничителей перенапряжения) до трансформаторов и аппаратов не ограничиваются (за исключением случаев, указанных в пункте 1014 настоящих Правил).</w:t>
      </w:r>
    </w:p>
    <w:bookmarkEnd w:id="3580"/>
    <w:bookmarkStart w:name="637605036" w:id="35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воздушной связи трансформаторов с шинами РУ до 10 кВ расстояния от вентильных разрядников (ограничителей перенапряжения) до трансформаторов и аппаратов не должны превышать 60 м при ВЛ на деревянных опорах и 90 м при ВЛ на металлических и железобетонных опорах.</w:t>
      </w:r>
    </w:p>
    <w:bookmarkEnd w:id="3581"/>
    <w:bookmarkStart w:name="637605037" w:id="35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подходов ВЛ до 20 кВ к подстанциям тросовыми молниеотводами не требуется.</w:t>
      </w:r>
    </w:p>
    <w:bookmarkEnd w:id="3582"/>
    <w:bookmarkStart w:name="637605038" w:id="35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подходах к подстанциям ВЛ до 20 кВ с деревянными опорами на расстоянии 200–300 м от подстанции должен быть установлен комплект трубчатых разрядников (РТ1).</w:t>
      </w:r>
    </w:p>
    <w:bookmarkEnd w:id="3583"/>
    <w:bookmarkStart w:name="637605039" w:id="35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до 20 кВ, которые в грозовой сезон могут быть длительно отключены с одной стороны, устанавливается комплект трубчатых разрядников (РТ2) на конструкции, подстанции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(ограничители перенапряжения). Расстояние от разрядников до отключенного аппарата должно быть не более 15 м.</w:t>
      </w:r>
    </w:p>
    <w:bookmarkEnd w:id="3584"/>
    <w:bookmarkStart w:name="637605040" w:id="35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заземления РТ1 и РТ2 не должны превышать 10 Ом при удельном сопротивлении земли до 100 ОмЧм и 15 Ом при более высоком удельном сопротивлении.</w:t>
      </w:r>
    </w:p>
    <w:bookmarkEnd w:id="3585"/>
    <w:bookmarkStart w:name="637605041" w:id="35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подходах к подстанциям ВЛ до 20 кВ с металлическими и железобетонными опорами установка трубчатых разрядников (комплектов РТ1 и РТ2) не требуется.</w:t>
      </w:r>
    </w:p>
    <w:bookmarkEnd w:id="3586"/>
    <w:bookmarkStart w:name="637605042" w:id="35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подстанций до 20 кВ, с низшим напряжением до 1 кВ, присоединенных к ВЛ до 20 кВ, должна выполняться вентильными разрядниками (ограничителями перенапряжения), устанавливаемыми с высокой и низкой сторон подстанции.</w:t>
      </w:r>
    </w:p>
    <w:bookmarkEnd w:id="3587"/>
    <w:bookmarkStart w:name="637605043" w:id="35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мощности трансформатора до 0,63 МВЧА допускается не устанавливать трубчатые разрядники на подходе ВЛ до 20 кВ с деревянными опорами.</w:t>
      </w:r>
    </w:p>
    <w:bookmarkEnd w:id="3588"/>
    <w:bookmarkStart w:name="637605044" w:id="35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вентильного разрядника (ограничителя перенапряжения) в одной ячейке с трансформатором напряжения разрядник присоединяется до предохранителя.</w:t>
      </w:r>
    </w:p>
    <w:bookmarkEnd w:id="3589"/>
    <w:bookmarkStart w:name="637605045" w:id="35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1035. Кабельные вставки 35–220 кВ при их длине менее 1,5 км должны быть защищены с обеих сторон трубчатыми или вентильными разрядниками (ограничителями перенапряжения). Кабели 35—110 кВ защищаются вентильными разрядниками (ограничителями перенапряжения) типа РВС или трубчатыми разрядниками, а кабели 220 кВ – вентильными разрядниками типа РВМГ. При длине кабеля 1,5 км и более установка разрядников по концам кабеля не требуется.</w:t>
      </w:r>
    </w:p>
    <w:bookmarkEnd w:id="3590"/>
    <w:bookmarkStart w:name="637605046" w:id="35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присоединения ВЛ до 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 от конца кабеля устанавливается второй комплект трубчатых разрядников.</w:t>
      </w:r>
    </w:p>
    <w:bookmarkEnd w:id="3591"/>
    <w:bookmarkStart w:name="637605047" w:id="35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кабельной вставки длиной более 50 м в месте присоединения кабеля к ВЛ устанавливается комплект вентильных разрядников (ограничителей перенапряжения).</w:t>
      </w:r>
    </w:p>
    <w:bookmarkEnd w:id="3592"/>
    <w:bookmarkStart w:name="637605048" w:id="35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пункте 1033 настоящих Правил.</w:t>
      </w:r>
    </w:p>
    <w:bookmarkEnd w:id="3593"/>
    <w:bookmarkStart w:name="637605049" w:id="35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1036. Защиту подстанций 35–110 кВ с трансформаторами мощностью до 40 МВЧА, присоединяемых к ответвлениям протяженностью менее требуемой длины защищаемого подхода (таблиц 134 и 136 приложения к настоящим Правилам) от действующих ВЛ с деревянными, металлическими или железобетонными опорами без троса, допускается выполнять по упрощенней схеме (рисунок 16), включающей:</w:t>
      </w:r>
    </w:p>
    <w:bookmarkEnd w:id="3594"/>
    <w:bookmarkStart w:name="637605050" w:id="35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вентильные разрядники (ограничители перенапряжения), устанавливаемые на подстанции на расстоянии не более 10 м от силового трансформатора;</w:t>
      </w:r>
    </w:p>
    <w:bookmarkEnd w:id="3595"/>
    <w:bookmarkStart w:name="637605051" w:id="35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тросовые молниеотводы подхода к подстанции на всей длине ответвления, при длине ответвления менее 150 м дополнительно защищаются тросовыми или стержневыми молниеотводами по одному пролету действующей ВЛ в обе стороны от ответвления;</w:t>
      </w:r>
    </w:p>
    <w:bookmarkEnd w:id="3596"/>
    <w:bookmarkStart w:name="637605052" w:id="35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p>
    <w:bookmarkEnd w:id="3597"/>
    <w:bookmarkStart w:name="637605053" w:id="35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длине захода более 500 м установка РТ1 не требуется.</w:t>
      </w:r>
    </w:p>
    <w:bookmarkEnd w:id="3598"/>
    <w:bookmarkStart w:name="637605054" w:id="35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подстанций, на которых расстояния между вентильными разрядниками (ограничителями перенапряжения) и трансформаторами превышают 10 м, выполняется в соответствии с требованиями, приведенными в пунктах 1021, 1027 настоящих Правил.</w:t>
      </w:r>
    </w:p>
    <w:bookmarkEnd w:id="3599"/>
    <w:bookmarkStart w:name="637605055" w:id="36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Упрощенную защиту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(рисунок 17 приложения к настоящим Правилам). При этом, трансформаторы должны быть защищены вентильными разрядниками типа РВМГ.</w:t>
      </w:r>
    </w:p>
    <w:bookmarkEnd w:id="3600"/>
    <w:bookmarkStart w:name="637605056" w:id="36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Выполнение грозозащиты подстанций, присоединяемых к вновь вооружаемым ВЛ, по упрощенным схемам не допускается.</w:t>
      </w:r>
    </w:p>
    <w:bookmarkEnd w:id="3601"/>
    <w:bookmarkStart w:name="637605057" w:id="36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1037. В районах с удельным сопротивлением земли 1000 ОмЧм и более сопротивление заземления РТ1 и РТ2 35–110 кВ, устанавливаемых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подстанции протяженным заземлителем.</w:t>
      </w:r>
    </w:p>
    <w:bookmarkEnd w:id="3602"/>
    <w:bookmarkStart w:name="637605058" w:id="36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1038. Разъединители, устанавливаемые на опорах ВЛ до 110 кВ, имеющих защиту тросом не по всей длине, защищаются трубчатыми разрядниками, устанавливаемыми на тех же опорах со стороны потребителя. Если разъединитель может иметь длительно отключенное положение, трубчатые разрядники должны быть установлены на той же опоре с каждой стороны, находящейся под напряжением.</w:t>
      </w:r>
    </w:p>
    <w:bookmarkEnd w:id="3603"/>
    <w:bookmarkStart w:name="637605059" w:id="36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разъединителей на расстоянии до 25 м по длине ВЛ от места подключения линии к подстанции или распределительному пункту установка разрядников на опоре, не требуется. Если эти разъединители могут иметь длительно отключенное положение, со стороны ВЛ на опоре должны быть установлены разрядники.</w:t>
      </w:r>
    </w:p>
    <w:bookmarkEnd w:id="3604"/>
    <w:bookmarkStart w:name="637605060" w:id="36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ВЛ до 20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p>
    <w:bookmarkEnd w:id="3605"/>
    <w:bookmarkStart w:name="637605061" w:id="36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разъединителей в тех пределах защищаемых тросом подходов ВЛ, которые указаны в пунктах 1035, 1043 и в таблице 136 приложения к настоящим Правилам,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bookmarkEnd w:id="3606"/>
    <w:bookmarkStart w:name="637605062" w:id="36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1039. Сопротивление заземления трубчатых разрядников, указанных в пункте 1037 настоящих Правил, должно удовлетворять требованиям, приведенным в главе 8 настоящих Правил.</w:t>
      </w:r>
    </w:p>
    <w:bookmarkEnd w:id="3607"/>
    <w:bookmarkStart w:name="637605063" w:id="36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1040.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w:t>
      </w:r>
    </w:p>
    <w:bookmarkEnd w:id="3608"/>
    <w:bookmarkStart w:name="637605064" w:id="36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ответвления на деревянных опорах в месте его присоединения к линии должен быть установлен комплект трубчатых разрядников.</w:t>
      </w:r>
    </w:p>
    <w:bookmarkEnd w:id="3609"/>
    <w:bookmarkStart w:name="637605065" w:id="36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1041. Для защиты переключательных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присоединяются к заземляющему устройству переключательного пункта.</w:t>
      </w:r>
    </w:p>
    <w:bookmarkEnd w:id="3610"/>
    <w:bookmarkStart w:name="637605066" w:id="3611"/>
    <w:p>
      <w:pPr>
        <w:spacing w:before="120" w:after="120" w:line="240"/>
        <w:ind w:left="0"/>
        <w:jc w:val="center"/>
      </w:pPr>
      <w:r>
        <w:rPr>
          <w:rFonts w:hint="default" w:ascii="Times New Roman" w:hAnsi="Times New Roman"/>
          <w:b/>
          <w:i w:val="false"/>
          <w:color w:val="000000"/>
          <w:sz w:val="24"/>
        </w:rPr>
        <w:t>Параграф 7. Защита вращающихся электрических машинот грозовых перенапряжений</w:t>
      </w:r>
    </w:p>
    <w:bookmarkEnd w:id="3611"/>
    <w:bookmarkStart w:name="637605067" w:id="36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1042. Воздушные линии с металлическими и железобетонными опорами допускается присоединять к генераторам (синхронным компенсаторам) мощностью до 50 МВт (до 50 МВЧ1).</w:t>
      </w:r>
    </w:p>
    <w:bookmarkEnd w:id="3612"/>
    <w:bookmarkStart w:name="637605068" w:id="36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Воздушные линии с деревянными опорами допускается присоединять к генераторам (синхронным компенсаторам) мощностью до 25 МВт (до 25 МВЧ1).</w:t>
      </w:r>
    </w:p>
    <w:bookmarkEnd w:id="3613"/>
    <w:bookmarkStart w:name="637605069" w:id="36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Присоединение ВЛ к генераторам (синхронным компенсаторам) мощностью более 50 МВт (более 50 МВЧ1) допускается только при помощи разделительного трансформатора.</w:t>
      </w:r>
    </w:p>
    <w:bookmarkEnd w:id="3614"/>
    <w:bookmarkStart w:name="637605070" w:id="36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1043.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1 группы и емкости не менее 0,5 мкФ на фазу. Кроме того, должна быть выполнена защита подхода ВЛ к электростанции (подстанции) с уровнем грозоупорности не менее 50 кА. Вентильные разрядники устанавливаются для защиты, генераторов (синхронных компенсаторов) мощностью более 15 МВт (более 15 МВЧ1) – на присоединении каждого генератора (синхронного компенсатор1); 15 МВт и менее (15 МВЧА и менее) – на шинах (секциях шин) генераторного напряжения; электродвигателей мощностью более 3 МВт – на шинах РУ.</w:t>
      </w:r>
    </w:p>
    <w:bookmarkEnd w:id="3615"/>
    <w:bookmarkStart w:name="637605071" w:id="36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МВЧА и более), вместо емкостей 0,5 мкФ на фазу может быть применен вентильный разрядник в нейтрали генератора (синхронного компенсатор1)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p>
    <w:bookmarkEnd w:id="3616"/>
    <w:bookmarkStart w:name="637605072" w:id="36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1044. Если вращающиеся машины и ВЛ присоединены к общим шинам электростанции или подстанции, то подходы этих ВЛ должны быть защищены от грозовых воздействий с соблюдением следующих требований:</w:t>
      </w:r>
    </w:p>
    <w:bookmarkEnd w:id="3617"/>
    <w:bookmarkStart w:name="637605073" w:id="36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подход ВЛ с железобетонными опорами должен быть защищен тросом на протяжении не менее 300 м, в начале подхода должен быть установлен комплект трубчатых разрядников (рисунок 18).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подвешиваются на гирляндах изоляторов (на изоляторах), соответствующих классу напряжения 35 кВ. Сопротивление заземления трубчатых разрядников не должно превышать 5 Ом, а сопротивление заземления тросовых опор – 10 Ом.</w:t>
      </w:r>
    </w:p>
    <w:bookmarkEnd w:id="3618"/>
    <w:bookmarkStart w:name="637605074" w:id="3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Вместо трубчатых разрядников в начале подхода установливаются вентильные разрядники IV группы. При этом, сопротивление заземления разрядников должно быть не более 3 Ом.</w:t>
      </w:r>
    </w:p>
    <w:bookmarkEnd w:id="3619"/>
    <w:bookmarkStart w:name="637605075" w:id="36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подходах ВЛ с деревянными опорами дополнительно к средствам защиты, применяемым на ВЛ с железобетонными опорами, устанавливается комплект трубчатых разрядников на расстоянии 150 м от начала тросового подхода в сторону линии. Сопротивление заземления разрядников должно быть не более 5 Ом;</w:t>
      </w:r>
    </w:p>
    <w:bookmarkEnd w:id="3620"/>
    <w:bookmarkStart w:name="637605076" w:id="36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ВЛ, присоединенных к электростанциям и подстанциям кабельными вставками длиной до 0,5 км, защита подхода должна быть выполнена так же, как на ВЛ без кабельных вставок, и дополнительно должен быть установлен комплект вентильных разрядников IV группы в месте присоединения ВЛ к кабелю. Разрядник кратчайшим путем присоединяется к броне, металлической оболочки кабеля и к заземлителю. Сопротивление заземления разрядников не должно превышать 5 Ом;</w:t>
      </w:r>
    </w:p>
    <w:bookmarkEnd w:id="3621"/>
    <w:bookmarkStart w:name="637605077" w:id="36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Сопротивление заземления разрядника не должно превышать 3 Ом;</w:t>
      </w:r>
    </w:p>
    <w:bookmarkEnd w:id="3622"/>
    <w:bookmarkStart w:name="637605078" w:id="36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 наличии реактора на присоединении ВЛ подход ВЛ на длине 100–150 м должен быть защищен от прямых ударов молнии тросовым молниеотводом (см. рисунок 18).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Сопротивление заземления трубчатого разрядника должно быть не более 10 Ом;</w:t>
      </w:r>
    </w:p>
    <w:bookmarkEnd w:id="3623"/>
    <w:bookmarkStart w:name="637605079" w:id="36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w:t>
      </w:r>
    </w:p>
    <w:bookmarkEnd w:id="3624"/>
    <w:bookmarkStart w:name="637605080" w:id="36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на ВЛ, присоединенных к шинам электростанций (подстанций) с вращающимися машинами мощностью менее 3 МВт (менее 3 МВЧ1),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на расстоянии 150 м от электростанции (подстанции). Сопротивление заземления разрядников должно быть не более 3 Ом. При этом, защита подхода ВЛ тросом не требуется.</w:t>
      </w:r>
    </w:p>
    <w:bookmarkEnd w:id="3625"/>
    <w:bookmarkStart w:name="637605081" w:id="36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1045.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быть удалено от места присоединения к нему заземляемых элементов токопровода, считая по полосам заземления, не менее чем на 20 м.</w:t>
      </w:r>
    </w:p>
    <w:bookmarkEnd w:id="3626"/>
    <w:bookmarkStart w:name="637605082" w:id="3627"/>
    <w:p>
      <w:pPr>
        <w:spacing w:before="120" w:after="120" w:line="240"/>
        <w:ind w:left="0"/>
        <w:jc w:val="both"/>
      </w:pPr>
      <w:r>
        <w:rPr>
          <w:rFonts w:hint="default" w:ascii="Times New Roman" w:hAnsi="Times New Roman"/>
          <w:b w:val="false"/>
          <w:i w:val="false"/>
          <w:color w:val="000000"/>
          <w:sz w:val="24"/>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bookmarkEnd w:id="3627"/>
    <w:bookmarkStart w:name="637605083" w:id="36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p>
    <w:bookmarkEnd w:id="3628"/>
    <w:bookmarkStart w:name="637605084" w:id="36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1046. Если подстанция 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1174 для токопроводов, не входящих в зоны защиты молниеотводов РУ.</w:t>
      </w:r>
    </w:p>
    <w:bookmarkEnd w:id="3629"/>
    <w:bookmarkStart w:name="637605085" w:id="36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p>
    <w:bookmarkEnd w:id="3630"/>
    <w:bookmarkStart w:name="637605086" w:id="36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13,8–20 кВ – 0,4 мкФ.</w:t>
      </w:r>
    </w:p>
    <w:bookmarkEnd w:id="3631"/>
    <w:bookmarkStart w:name="637605087" w:id="36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bookmarkEnd w:id="3632"/>
    <w:bookmarkStart w:name="637605088" w:id="36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1047.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250 м от шин подстанции (рисунок 19). Сопротивление заземления разрядников должно быть не более 5 Ом.</w:t>
      </w:r>
    </w:p>
    <w:bookmarkEnd w:id="3633"/>
    <w:bookmarkStart w:name="637605089" w:id="36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250 м составляет не более 10 Ом.</w:t>
      </w:r>
    </w:p>
    <w:bookmarkEnd w:id="3634"/>
    <w:bookmarkStart w:name="637605090" w:id="36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кабельной вставки любой длины непосредственно перед кабелем должен быть установлен вентильный разрядник IV группы. Заземляющий зажим разрядника должен быть кратчайшим путем присоединен к металлическим оболочкам кабеля и к заземлителю (Рисунок 19). У электродвигателя должны быть установлены вентильные разрядники I группы и защитные емкости по 0,5 мкФ на фазу.</w:t>
      </w:r>
    </w:p>
    <w:bookmarkEnd w:id="3635"/>
    <w:bookmarkStart w:name="637605091" w:id="3636"/>
    <w:p>
      <w:pPr>
        <w:spacing w:before="120" w:after="120" w:line="240"/>
        <w:ind w:left="0"/>
        <w:jc w:val="center"/>
      </w:pPr>
      <w:r>
        <w:rPr>
          <w:rFonts w:hint="default" w:ascii="Times New Roman" w:hAnsi="Times New Roman"/>
          <w:b/>
          <w:i w:val="false"/>
          <w:color w:val="000000"/>
          <w:sz w:val="24"/>
        </w:rPr>
        <w:t>Параграф 8. Защита от внутренних перенапряжений</w:t>
      </w:r>
    </w:p>
    <w:bookmarkEnd w:id="3636"/>
    <w:bookmarkStart w:name="637605092" w:id="36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1048. В электрических сетях 6–35 кВ, в которых требуется компенсация емкости токов однофазных замыканий на землю, выравниваются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0,75 %.</w:t>
      </w:r>
    </w:p>
    <w:bookmarkEnd w:id="3637"/>
    <w:bookmarkStart w:name="637605093" w:id="36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p>
    <w:bookmarkEnd w:id="3638"/>
    <w:bookmarkStart w:name="637605094" w:id="36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Дугогасящие заземляющие реакторы не допускается подключать к трансформаторам:</w:t>
      </w:r>
    </w:p>
    <w:bookmarkEnd w:id="3639"/>
    <w:bookmarkStart w:name="637605095" w:id="36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присоединенным к шинам через предохранители;</w:t>
      </w:r>
    </w:p>
    <w:bookmarkEnd w:id="3640"/>
    <w:bookmarkStart w:name="637605096" w:id="36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имеющим соединение с сетью, емкостный ток которой компенсируется только по одной линии.</w:t>
      </w:r>
    </w:p>
    <w:bookmarkEnd w:id="3641"/>
    <w:bookmarkStart w:name="637605097" w:id="36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p>
    <w:bookmarkEnd w:id="3642"/>
    <w:bookmarkStart w:name="637605098" w:id="36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1049. В сетях 110–220 кВ, которые работают с заземленной нейтралью и имеют изоляцию и повышенный уровень изоляции обмоток 110 и 220 кВ силовых трансформаторов (автотрансформаторов), применения специальных мер для ограничения внутренних перенапряжений не требуется.</w:t>
      </w:r>
    </w:p>
    <w:bookmarkEnd w:id="3643"/>
    <w:bookmarkStart w:name="637605099" w:id="36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Обмотки 110 и 220 кВ трансформаторов (автотрансформаторов) с уровнем изоляции, а также обмотки 500 кВ трансформаторов (автотрансформаторов) должны быть защищены от внутренних перенапряжений ограничителями перенапряжений, устанавливаемыми в соответствии с требованиями пункта 1028 настоящих Правил.</w:t>
      </w:r>
    </w:p>
    <w:bookmarkEnd w:id="3644"/>
    <w:bookmarkStart w:name="637605100" w:id="36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1050. В электрических сетях до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до 35 кВ, которые отделяются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до 35 кВ, используемой для контроля изоляции, должен быть включен резистор сопротивлением 25 Ом, рассчитанный на длительное прохождение тока 4 А.</w:t>
      </w:r>
    </w:p>
    <w:bookmarkEnd w:id="3645"/>
    <w:bookmarkStart w:name="637605101" w:id="36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электрических схемах до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p>
    <w:bookmarkEnd w:id="3646"/>
    <w:bookmarkStart w:name="637605102" w:id="36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p>
    <w:bookmarkEnd w:id="3647"/>
    <w:bookmarkStart w:name="637605103" w:id="36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электрических сетях и схемах соединений до 35 кВ, в которых не требуется измерения фазных напряжений относительно земли (контроль изоляции) или напряжения нулевой последовательности, применяется трансформаторы напряжения, первичные обмотки которых не имеют соединения с землей.</w:t>
      </w:r>
    </w:p>
    <w:bookmarkEnd w:id="3648"/>
    <w:bookmarkStart w:name="637605104" w:id="36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электрических сетях и схемах соединений до 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p>
    <w:bookmarkEnd w:id="3649"/>
    <w:bookmarkStart w:name="637605105" w:id="36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1051. В сети 500 кВ в зависимости от протяженности и количества линий, схемы сети, типа выключателей, мощности трансформаторов и других параметров предусматриваются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p>
    <w:bookmarkEnd w:id="3650"/>
    <w:bookmarkStart w:name="637605106" w:id="36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1052. Коммутационные перенапряжения в сети 500 кВ должны быть ограничены до расчетной кратности, равной 2,7 и 2,5 соответственно.</w:t>
      </w:r>
    </w:p>
    <w:bookmarkEnd w:id="3651"/>
    <w:bookmarkStart w:name="637605107" w:id="36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 целью ограничения опасных для оборудования коммутационных перенапряжений на ВЛ применяются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выбираются на основе расчетов внутренних перенапряжений в электропередаче.</w:t>
      </w:r>
    </w:p>
    <w:bookmarkEnd w:id="3652"/>
    <w:bookmarkStart w:name="637605108" w:id="36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1053. Для РУ 110–500 кВ с выключателями, имеющими емкостные делители напряжения, предусматриваются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p>
    <w:bookmarkEnd w:id="3653"/>
    <w:bookmarkStart w:name="637605109" w:id="3654"/>
    <w:p>
      <w:pPr>
        <w:spacing w:before="120" w:after="120" w:line="240"/>
        <w:ind w:left="0"/>
        <w:jc w:val="center"/>
      </w:pPr>
      <w:r>
        <w:rPr>
          <w:rFonts w:hint="default" w:ascii="Times New Roman" w:hAnsi="Times New Roman"/>
          <w:b/>
          <w:i w:val="false"/>
          <w:color w:val="000000"/>
          <w:sz w:val="24"/>
        </w:rPr>
        <w:t>Параграф 9. Пневматическое хозяйство</w:t>
      </w:r>
    </w:p>
    <w:bookmarkEnd w:id="3654"/>
    <w:bookmarkStart w:name="637605110" w:id="36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1054.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подстанций должна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p>
    <w:bookmarkEnd w:id="3655"/>
    <w:bookmarkStart w:name="637605111" w:id="36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1055.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p>
    <w:bookmarkEnd w:id="3656"/>
    <w:bookmarkStart w:name="637605112" w:id="36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1056. Для получения осушенного воздуха в компрессорной установке должны предусматриваться две ступени давления:</w:t>
      </w:r>
    </w:p>
    <w:bookmarkEnd w:id="3657"/>
    <w:bookmarkStart w:name="637605113" w:id="36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p>
    <w:bookmarkEnd w:id="3658"/>
    <w:bookmarkStart w:name="637605114" w:id="36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p>
    <w:bookmarkEnd w:id="3659"/>
    <w:bookmarkStart w:name="637605115" w:id="36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Системы компрессорного и рабочего давлений должны связываться между собой перепускными клапанами.</w:t>
      </w:r>
    </w:p>
    <w:bookmarkEnd w:id="3660"/>
    <w:bookmarkStart w:name="637605116" w:id="36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1057. Производительность рабочих компрессоров должна быть выбрана такой, чтобы обеспечить:</w:t>
      </w:r>
    </w:p>
    <w:bookmarkEnd w:id="3661"/>
    <w:bookmarkStart w:name="637605117" w:id="36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установках с компрессорами давлением до 5 МПа:</w:t>
      </w:r>
    </w:p>
    <w:bookmarkEnd w:id="3662"/>
    <w:bookmarkStart w:name="637605118" w:id="36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0,5 часов непрерывной работы с двухчасовой паузой;</w:t>
      </w:r>
    </w:p>
    <w:bookmarkEnd w:id="3663"/>
    <w:bookmarkStart w:name="637605119" w:id="36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часа, пока компрессоры не работают, – в течение 0,5 часов.</w:t>
      </w:r>
    </w:p>
    <w:bookmarkEnd w:id="3664"/>
    <w:bookmarkStart w:name="637605120" w:id="36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установках с компрессорами давлением 23 МПа:</w:t>
      </w:r>
    </w:p>
    <w:bookmarkEnd w:id="3665"/>
    <w:bookmarkStart w:name="637605121" w:id="36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1,5 часов непрерывной работы с двухчасовой паузой;</w:t>
      </w:r>
    </w:p>
    <w:bookmarkEnd w:id="3666"/>
    <w:bookmarkStart w:name="637605122" w:id="36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восстановление давления в воздухосборниках (условия аналогичны изложенным в подпунктах 1), 2) настощего пункта в течение 1,5 часов.</w:t>
      </w:r>
    </w:p>
    <w:bookmarkEnd w:id="3667"/>
    <w:bookmarkStart w:name="637605123" w:id="36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любом количестве рабочих компрессоров должен быть предусмотрен один резервный.</w:t>
      </w:r>
    </w:p>
    <w:bookmarkEnd w:id="3668"/>
    <w:bookmarkStart w:name="637605124" w:id="36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питания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bookmarkEnd w:id="3669"/>
    <w:bookmarkStart w:name="637605125" w:id="36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подстанциях с одним масляным выключателем, имеющим пневмопривод, должен устанавливаться один компрессор (без резерва).</w:t>
      </w:r>
    </w:p>
    <w:bookmarkEnd w:id="3670"/>
    <w:bookmarkStart w:name="637605126" w:id="36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1058.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p>
    <w:bookmarkEnd w:id="3671"/>
    <w:bookmarkStart w:name="637605127" w:id="36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Емкость воздухосборников должна обеспечивать покрытие суммарного расхода воздуха (при неработающих компрессорах):</w:t>
      </w:r>
    </w:p>
    <w:bookmarkEnd w:id="3672"/>
    <w:bookmarkStart w:name="637605128" w:id="36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рабочем режиме – на вентилирование воздушных выключателей и на утечки всей системы – за 2 часа,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p>
    <w:bookmarkEnd w:id="3673"/>
    <w:bookmarkStart w:name="637605129" w:id="36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сжатого воздуха в аппаратах:</w:t>
      </w:r>
    </w:p>
    <w:bookmarkEnd w:id="3674"/>
    <w:bookmarkStart w:name="637605130" w:id="36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25–30 % – в установках с компрессорами до 5 МПа;</w:t>
      </w:r>
    </w:p>
    <w:bookmarkEnd w:id="3675"/>
    <w:bookmarkStart w:name="637605131" w:id="36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80 % – в установках с компрессорами 23 МПа.</w:t>
      </w:r>
    </w:p>
    <w:bookmarkEnd w:id="3676"/>
    <w:bookmarkStart w:name="637605132" w:id="36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1059. В расчетах принимается, что начало аварийного режима с массовым отключением выключателей совпадает с моментом периодического включения в работу компрессорной установки (когда давление в воздухосборниках снизилось до пускового давления компрессора).</w:t>
      </w:r>
    </w:p>
    <w:bookmarkEnd w:id="3677"/>
    <w:bookmarkStart w:name="637605133" w:id="36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1060.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p>
    <w:bookmarkEnd w:id="3678"/>
    <w:bookmarkStart w:name="637605134" w:id="36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p>
    <w:bookmarkEnd w:id="3679"/>
    <w:bookmarkStart w:name="637605135" w:id="36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обеспечения более высокой степени осушки сжатого воздуха предусматривается последовательное соединение воздухосборников (не менее трех).</w:t>
      </w:r>
    </w:p>
    <w:bookmarkEnd w:id="3680"/>
    <w:bookmarkStart w:name="637605136" w:id="36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1061.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p>
    <w:bookmarkEnd w:id="3681"/>
    <w:bookmarkStart w:name="637605137" w:id="36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1062. Между конечным водомаслоотделителем в компрессорной установке и воздухосборниками должны устанавливаться обратные клапаны.</w:t>
      </w:r>
    </w:p>
    <w:bookmarkEnd w:id="3682"/>
    <w:bookmarkStart w:name="637605138" w:id="36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1063. Перепускные клапаны должны поддерживать в 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p>
    <w:bookmarkEnd w:id="3683"/>
    <w:bookmarkStart w:name="637605139" w:id="36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Пропускная способность перепускных клапанов и воздухопроводов распределительной сети должна обеспечивать за время не более 3 минут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p>
    <w:bookmarkEnd w:id="3684"/>
    <w:bookmarkStart w:name="637605140" w:id="36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Перепускной клапан в нормальном режиме, должен обеспечивать непрерывный перепуск небольшого количества воздуха для покрытия расхода на утечки и вентилирование в системе после клапана.</w:t>
      </w:r>
    </w:p>
    <w:bookmarkEnd w:id="3685"/>
    <w:bookmarkStart w:name="637605141" w:id="36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1064. Для каждого значения номинального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p>
    <w:bookmarkEnd w:id="3686"/>
    <w:bookmarkStart w:name="637605142" w:id="36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1065. Перепускные клапаны должны выполняться с электромагнитным управлением.</w:t>
      </w:r>
    </w:p>
    <w:bookmarkEnd w:id="3687"/>
    <w:bookmarkStart w:name="637605143" w:id="36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p>
    <w:bookmarkEnd w:id="3688"/>
    <w:bookmarkStart w:name="637605144" w:id="36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1066. Компрессорная установка должна быть полностью автоматизирована и должна работать без постоянного дежурства персонала.</w:t>
      </w:r>
    </w:p>
    <w:bookmarkEnd w:id="3689"/>
    <w:bookmarkStart w:name="637605145" w:id="36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p>
    <w:bookmarkEnd w:id="3690"/>
    <w:bookmarkStart w:name="637605146" w:id="36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p>
    <w:bookmarkEnd w:id="3691"/>
    <w:bookmarkStart w:name="637605147" w:id="36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сжатого воздуха должна быть оборудована сигнализацией, действующей при нарушениях нормальной ее работы.</w:t>
      </w:r>
    </w:p>
    <w:bookmarkEnd w:id="3692"/>
    <w:bookmarkStart w:name="637605148" w:id="36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1067. Воздухосборники должны устанавливаться на открытом воздухе на расстоянии 0,7–1 м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bookmarkEnd w:id="3693"/>
    <w:bookmarkStart w:name="637605149" w:id="36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1068. Забор воздуха компрессорами должен осуществляться из компрессорного помещения через фильтры, расположенные на компрессоре.</w:t>
      </w:r>
    </w:p>
    <w:bookmarkEnd w:id="3694"/>
    <w:bookmarkStart w:name="637605150" w:id="36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1069.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p>
    <w:bookmarkEnd w:id="3695"/>
    <w:bookmarkStart w:name="637605151" w:id="36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1070.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p>
    <w:bookmarkEnd w:id="3696"/>
    <w:bookmarkStart w:name="637605152" w:id="3697"/>
    <w:p>
      <w:pPr>
        <w:spacing w:before="120" w:after="120" w:line="240"/>
        <w:ind w:left="0"/>
        <w:jc w:val="both"/>
      </w:pPr>
      <w:r>
        <w:rPr>
          <w:rFonts w:hint="default" w:ascii="Times New Roman" w:hAnsi="Times New Roman"/>
          <w:b w:val="false"/>
          <w:i w:val="false"/>
          <w:color w:val="000000"/>
          <w:sz w:val="24"/>
        </w:rPr>
        <w:t xml:space="preserve">1071. В помещении компрессорной установки должно быть обеспечено поддержание в зимнее время температуры не ниже плюс 10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а в летнее время – не выше плюс 35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p>
    <w:bookmarkEnd w:id="3697"/>
    <w:bookmarkStart w:name="637605153" w:id="36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1072. Компрессорный агрегат должен устанавливаться на фундаментах, не связанных со стенами здания.</w:t>
      </w:r>
    </w:p>
    <w:bookmarkEnd w:id="3698"/>
    <w:bookmarkStart w:name="637605154" w:id="36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1073.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p>
    <w:bookmarkEnd w:id="3699"/>
    <w:bookmarkStart w:name="637605155" w:id="37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1074. Двери помещения компрессорной установки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p>
    <w:bookmarkEnd w:id="3700"/>
    <w:bookmarkStart w:name="637605156" w:id="37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1075. Воздухопроводная распределительная сеть выполняется кольцевой, разделенной на участки при помощи запорных вентилей.</w:t>
      </w:r>
    </w:p>
    <w:bookmarkEnd w:id="3701"/>
    <w:bookmarkStart w:name="637605157" w:id="37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Питание воздухопроводной сети должно осуществляться двумя магистралями от компрессорной установки.</w:t>
      </w:r>
    </w:p>
    <w:bookmarkEnd w:id="3702"/>
    <w:bookmarkStart w:name="637605158" w:id="37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1076.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устанавливаются в обеих нитках питающей магистрали воздухораспределительной сети возле шкафа манометров, указанных в пункте 1064 настоящих Правил.</w:t>
      </w:r>
    </w:p>
    <w:bookmarkEnd w:id="3703"/>
    <w:bookmarkStart w:name="637605159" w:id="37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1077.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p>
    <w:bookmarkEnd w:id="3704"/>
    <w:bookmarkStart w:name="637605160" w:id="37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1078. Воздухопроводы и арматура распределительной сети должны быть доступны для обслуживания.</w:t>
      </w:r>
    </w:p>
    <w:bookmarkEnd w:id="3705"/>
    <w:bookmarkStart w:name="637605161" w:id="37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1079. Прокладка воздухопроводов распределительной сети может выполняться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p>
    <w:bookmarkEnd w:id="3706"/>
    <w:bookmarkStart w:name="637605162" w:id="37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1080. Воздухопроводы прокладываются с уклоном 0,3 % с установкой в нижних точках спускных вентилей для продувки сети. Ответвления к аппаратам прокладываются с уклоном 0,3 % в направлении главной магистрали.</w:t>
      </w:r>
    </w:p>
    <w:bookmarkEnd w:id="3707"/>
    <w:bookmarkStart w:name="637605163" w:id="37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p>
    <w:bookmarkEnd w:id="3708"/>
    <w:bookmarkStart w:name="637605164" w:id="37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1082.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выполняются из стальных труб. Радиус изгиба стальных воздухопроводов должен быть не менее четырехкратного наружного диаметра трубы.</w:t>
      </w:r>
    </w:p>
    <w:bookmarkEnd w:id="3709"/>
    <w:bookmarkStart w:name="637605165" w:id="37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bookmarkEnd w:id="3710"/>
    <w:bookmarkStart w:name="637605166" w:id="37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1083. Стальные воздухопроводы должны быть соединены сваркой встык соединения с арматурой – фланцевые.</w:t>
      </w:r>
    </w:p>
    <w:bookmarkEnd w:id="3711"/>
    <w:bookmarkStart w:name="637605167" w:id="37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труб с внутренним диаметром 6–8 мм допускаются фланцевые соединения или соединения при помощи ниппелей.</w:t>
      </w:r>
    </w:p>
    <w:bookmarkEnd w:id="3712"/>
    <w:bookmarkStart w:name="637605168" w:id="37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1084.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p>
    <w:bookmarkEnd w:id="3713"/>
    <w:bookmarkStart w:name="637605169" w:id="37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1085.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p>
    <w:bookmarkEnd w:id="3714"/>
    <w:bookmarkStart w:name="637605170" w:id="37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1086.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bookmarkEnd w:id="3715"/>
    <w:bookmarkStart w:name="637605171" w:id="37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1087.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p>
    <w:bookmarkEnd w:id="3716"/>
    <w:bookmarkStart w:name="637605172" w:id="37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1088. Все элементы установки сжатого воздуха должны быть доступны для разборки и чистки.</w:t>
      </w:r>
    </w:p>
    <w:bookmarkEnd w:id="3717"/>
    <w:bookmarkStart w:name="637605173" w:id="3718"/>
    <w:p>
      <w:pPr>
        <w:spacing w:before="120" w:after="120" w:line="240"/>
        <w:ind w:left="0"/>
        <w:jc w:val="both"/>
      </w:pPr>
      <w:r>
        <w:rPr>
          <w:rFonts w:hint="default" w:ascii="Times New Roman" w:hAnsi="Times New Roman"/>
          <w:b/>
          <w:i w:val="false"/>
          <w:color w:val="000000"/>
          <w:sz w:val="24"/>
        </w:rPr>
        <w:t>Парагаф 10. Масляное хозяйство</w:t>
      </w:r>
    </w:p>
    <w:bookmarkEnd w:id="3718"/>
    <w:bookmarkStart w:name="637605174" w:id="37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1089. Для обслуживания маслонаполненного оборудования подстанций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p>
    <w:bookmarkEnd w:id="3719"/>
    <w:bookmarkStart w:name="637605175" w:id="37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1090. На электростанциях, на подстанциях 500 кВ независимо от мощности установленных трансформаторов и на подстанциях 330 кВ с трансформаторами мощностью 200 МВЧА и выше, расположенных в удаленных или труднодоступных районах, предусматриваются масляные хозяйства с оборудованием для обработки масла.</w:t>
      </w:r>
    </w:p>
    <w:bookmarkEnd w:id="3720"/>
    <w:bookmarkStart w:name="637605176" w:id="37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Склады масла таких маслохозяйств должны иметь:</w:t>
      </w:r>
    </w:p>
    <w:bookmarkEnd w:id="3721"/>
    <w:bookmarkStart w:name="637605177" w:id="37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тепловых электростанциях – по 4 резервуара турбинного и изоляционного масла;</w:t>
      </w:r>
    </w:p>
    <w:bookmarkEnd w:id="3722"/>
    <w:bookmarkStart w:name="637605178" w:id="37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гидроэлектростанциях – по 3 резервуара турбинного и изоляционного масла;</w:t>
      </w:r>
    </w:p>
    <w:bookmarkEnd w:id="3723"/>
    <w:bookmarkStart w:name="637605179" w:id="37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подстанциях – 3 резервуара изоляционного масла;</w:t>
      </w:r>
    </w:p>
    <w:bookmarkEnd w:id="3724"/>
    <w:bookmarkStart w:name="637605180" w:id="37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для турбинного масла – объема масляной системы одного агрегата и доливки масла в размере 45-дневной потребности всех агрегатов для тепловых электростанций и 10 % объема агрегата для гидроэлектростанций;</w:t>
      </w:r>
    </w:p>
    <w:bookmarkEnd w:id="3725"/>
    <w:bookmarkStart w:name="637605181" w:id="37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для изоляционного масла – объема одного наиболее крупного трансформатора с запасом 10 %.</w:t>
      </w:r>
    </w:p>
    <w:bookmarkEnd w:id="3726"/>
    <w:bookmarkStart w:name="637605182" w:id="37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bookmarkEnd w:id="3727"/>
    <w:bookmarkStart w:name="637605183" w:id="37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1091. На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 всего количества масла, залитого в аппараты и трансформаторы подстанции.</w:t>
      </w:r>
    </w:p>
    <w:bookmarkEnd w:id="3728"/>
    <w:bookmarkStart w:name="637605184" w:id="37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Склады масла на подстанциях с баковыми масляными выключателями не сооружаются:</w:t>
      </w:r>
    </w:p>
    <w:bookmarkEnd w:id="3729"/>
    <w:bookmarkStart w:name="637605185" w:id="37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хороших транспортных связях между подстанциями и централизованным маслохозяйством энергосистемы;</w:t>
      </w:r>
    </w:p>
    <w:bookmarkEnd w:id="3730"/>
    <w:bookmarkStart w:name="637605186" w:id="37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количестве масляных выключателей на подстанции не более двух;</w:t>
      </w:r>
    </w:p>
    <w:bookmarkEnd w:id="3731"/>
    <w:bookmarkStart w:name="637605187" w:id="37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подстанциях глубокого ввода, расположенных в черте города.</w:t>
      </w:r>
    </w:p>
    <w:bookmarkEnd w:id="3732"/>
    <w:bookmarkStart w:name="637605188" w:id="37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1092. На подстанциях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 объема масляной системы наибольшего синхронного компенсатора, устанавливаемого на данной подстанции.</w:t>
      </w:r>
    </w:p>
    <w:bookmarkEnd w:id="3733"/>
    <w:bookmarkStart w:name="637605189" w:id="37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1093. На остальных подстанциях, кроме оговоренных в пунктах 1089 и 1090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p>
    <w:bookmarkEnd w:id="3734"/>
    <w:bookmarkStart w:name="637605190" w:id="37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1094.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p>
    <w:bookmarkEnd w:id="3735"/>
    <w:bookmarkStart w:name="637605191" w:id="37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Стационарные маслопроводы на электростанциях и подстанциях 330 и 500 кВ прокладываются от мастерской или аппаратной маслохозяйства к помещению для ремонта трансформаторов (к трансформаторной башне на подстанциях или к монтажной площадке машинного зала на электростанциях) и к складу масла, а также к месту слива масла из цистерн.</w:t>
      </w:r>
    </w:p>
    <w:bookmarkEnd w:id="3736"/>
    <w:bookmarkStart w:name="637605192" w:id="37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Стационарные маслопроводы выполняются из стальных труб, соединяемых сваркой (кроме стыков с арматурой).</w:t>
      </w:r>
    </w:p>
    <w:bookmarkEnd w:id="3737"/>
    <w:bookmarkStart w:name="637605193" w:id="37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1095.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p>
    <w:bookmarkEnd w:id="3738"/>
    <w:bookmarkStart w:name="637605194" w:id="37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1096. Расстояния от стенок резервуаров открытых складов масла должны быть не менее:</w:t>
      </w:r>
    </w:p>
    <w:bookmarkEnd w:id="3739"/>
    <w:bookmarkStart w:name="637605195" w:id="37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до зданий и сооружений электростанций и подстанций (в том числе до трансформаторной мастерской): для складов общим объемом до 100 тонн масла – 12 м; для складов более 100 т – 18 м;</w:t>
      </w:r>
    </w:p>
    <w:bookmarkEnd w:id="3740"/>
    <w:bookmarkStart w:name="637605196" w:id="37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 жилых и общественных зданий – на 25 % больше расстояний;</w:t>
      </w:r>
    </w:p>
    <w:bookmarkEnd w:id="3741"/>
    <w:bookmarkStart w:name="637605197" w:id="37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до аппаратной маслохозяйства – 8 м;</w:t>
      </w:r>
    </w:p>
    <w:bookmarkEnd w:id="3742"/>
    <w:bookmarkStart w:name="637605198" w:id="37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до складов баллонов водорода – 20 м.</w:t>
      </w:r>
    </w:p>
    <w:bookmarkEnd w:id="3743"/>
    <w:bookmarkStart w:name="637605199" w:id="3744"/>
    <w:p>
      <w:pPr>
        <w:spacing w:before="120" w:after="120" w:line="240"/>
        <w:ind w:left="0"/>
        <w:jc w:val="center"/>
      </w:pPr>
      <w:r>
        <w:rPr>
          <w:rFonts w:hint="default" w:ascii="Times New Roman" w:hAnsi="Times New Roman"/>
          <w:b/>
          <w:i w:val="false"/>
          <w:color w:val="000000"/>
          <w:sz w:val="24"/>
        </w:rPr>
        <w:t>Параграф 11. Установка силовых трансформаторов</w:t>
      </w:r>
    </w:p>
    <w:bookmarkEnd w:id="3744"/>
    <w:bookmarkStart w:name="637605200" w:id="37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1097. Требования пунктов 1097–1138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w:t>
      </w:r>
    </w:p>
    <w:bookmarkEnd w:id="3745"/>
    <w:bookmarkStart w:name="637605201" w:id="37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и реакторы, перечисленные в настоящем параграфе, поименованы в пунктах 1097–1038 настощих Правил термином «трансформаторы».</w:t>
      </w:r>
    </w:p>
    <w:bookmarkEnd w:id="3746"/>
    <w:bookmarkStart w:name="637605202" w:id="37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bookmarkEnd w:id="3747"/>
    <w:bookmarkStart w:name="637605203" w:id="37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пунктов 1107, 1112 и 1113 настоящих Правил не относятся к установке трансформаторов, входящих в КТП с высшим напряжением 10 кВ и ниже.</w:t>
      </w:r>
    </w:p>
    <w:bookmarkEnd w:id="3748"/>
    <w:bookmarkStart w:name="637605204" w:id="37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1098. Для установки на открытом воздухе в макроклиматических районах с холодным климатом должны применяться трансформаторы специального исполнения (ХЛ).</w:t>
      </w:r>
    </w:p>
    <w:bookmarkEnd w:id="3749"/>
    <w:bookmarkStart w:name="637605205" w:id="37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1099.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p>
    <w:bookmarkEnd w:id="3750"/>
    <w:bookmarkStart w:name="637605206" w:id="37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1100.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w:t>
      </w:r>
    </w:p>
    <w:bookmarkEnd w:id="3751"/>
    <w:bookmarkStart w:name="637605207" w:id="37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p>
    <w:bookmarkEnd w:id="3752"/>
    <w:bookmarkStart w:name="637605208" w:id="37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1101. К газовым реле трансформаторов должен быть обеспечен безопасный доступ для наблюдения и отбора проб газа без снятия напряжения. Для этого трансформаторы, имеющие высоту от уровня головки рельса до крышки бака 3 м и более, должны снабжаться стационарной лестницей.</w:t>
      </w:r>
    </w:p>
    <w:bookmarkEnd w:id="3753"/>
    <w:bookmarkStart w:name="637605209" w:id="37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1102. На крышках и баках трансформаторов допускается установка вентильных разрядников не выше 35 кВ, соответствующих требованиям для разрядников, устанавливаемых на крышке трансформатора.</w:t>
      </w:r>
    </w:p>
    <w:bookmarkEnd w:id="3754"/>
    <w:bookmarkStart w:name="637605210" w:id="37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1103.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w:t>
      </w:r>
    </w:p>
    <w:bookmarkEnd w:id="3755"/>
    <w:bookmarkStart w:name="637605211" w:id="37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массой до 2 тонн, не снабженные катками, допускается устанавливать непосредственно на фундаменте. Допускается устанавливать непосредственно на фундамент трансформаторы большей массы в районах с повышенной сейсмической опасностью при условии согласования с заводом-изготовителем.</w:t>
      </w:r>
    </w:p>
    <w:bookmarkEnd w:id="3756"/>
    <w:bookmarkStart w:name="637605212" w:id="37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фундаментах трансформаторов, при необходимости, должны быть предусмотрены места для установки домкратов, применяемых для создания уклона трансформатора.</w:t>
      </w:r>
    </w:p>
    <w:bookmarkEnd w:id="3757"/>
    <w:bookmarkStart w:name="637605213" w:id="37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1104. Уклон масляного трансформатора, необходимый для обеспечения поступления газа к газовому реле, если он не предусмотрен конструкцией трансформатора, должен создаваться путем установки подкладок под катки.</w:t>
      </w:r>
    </w:p>
    <w:bookmarkEnd w:id="3758"/>
    <w:bookmarkStart w:name="637605214" w:id="37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1105. При установке расширителя на отдельной конструкции она должна располагаться так, чтобы не препятствовать выкатке трансформатора с фундамента.</w:t>
      </w:r>
    </w:p>
    <w:bookmarkEnd w:id="3759"/>
    <w:bookmarkStart w:name="637605215" w:id="37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может быть использован портал ячейки трансформатора.</w:t>
      </w:r>
    </w:p>
    <w:bookmarkEnd w:id="3760"/>
    <w:bookmarkStart w:name="637605216" w:id="37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1106.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w:t>
      </w:r>
    </w:p>
    <w:bookmarkEnd w:id="3761"/>
    <w:bookmarkStart w:name="637605217" w:id="37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1107. Вдоль путей перекатки, а также у фундаментов трансформаторов массой более 20 тонн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p>
    <w:bookmarkEnd w:id="3762"/>
    <w:bookmarkStart w:name="637605218" w:id="37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1108. Расстояние в свету между открыто установленными трансформаторами должно быть не менее 1,25 м.</w:t>
      </w:r>
    </w:p>
    <w:bookmarkEnd w:id="3763"/>
    <w:bookmarkStart w:name="637605219" w:id="37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Указанное расстояние принимается до наиболее выступающих частей трансформаторов, расположенных на высоте менее 1,9 м от поверхности земли.</w:t>
      </w:r>
    </w:p>
    <w:bookmarkEnd w:id="3764"/>
    <w:bookmarkStart w:name="637605220" w:id="37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единичной мощности открыто установленных трансформаторов 110 кВ и выше (как трехфазных, так и однофазных) 63 МВ А и более между ними или между ними и трансформаторами любой мощности (включая регулировочные, собственных нужд) должны быть установлены разделительные перегородки, если расстояние в свету между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p>
    <w:bookmarkEnd w:id="3765"/>
    <w:bookmarkStart w:name="637605221" w:id="37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1,5 метра.</w:t>
      </w:r>
    </w:p>
    <w:bookmarkEnd w:id="3766"/>
    <w:bookmarkStart w:name="637605222" w:id="37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p>
    <w:bookmarkEnd w:id="3767"/>
    <w:bookmarkStart w:name="637605223" w:id="37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1109. Последовательные регулировочные трансформаторы должны устанавливаться в непосредственной близости от регулируемых трансформаторов. Предусматривается возможность их перекатки по общему пути.</w:t>
      </w:r>
    </w:p>
    <w:bookmarkEnd w:id="3768"/>
    <w:bookmarkStart w:name="637605224" w:id="37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1110. Трансформаторы 500 кВ независимо от их мощности, а также 220 кВ мощностью 200 МВ А и более должны оборудоваться стационарными автоматическими установками пожаротушения. В первую очередь предусматриваются установки пожаротушения, основанные на методе тушения пожаров азотом, путем его интенсивного вдувания в бак трансформатора. Допускается также использование систем водяного пожаротушения.</w:t>
      </w:r>
    </w:p>
    <w:bookmarkEnd w:id="3769"/>
    <w:bookmarkStart w:name="637605225" w:id="37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вновь устанавливаемых трансформаторов выполняется система автоматического пожаротушения в сочетании с системой предотвращения взрыва и пожара трансформаторов.</w:t>
      </w:r>
    </w:p>
    <w:bookmarkEnd w:id="3770"/>
    <w:bookmarkStart w:name="637605226" w:id="37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1111. Автоматический пуск установки пожаротушения должен дублироваться дистанционным пуском со щита управления ручным пуском. Устройства ручного пуска должны располагаться в месте, не подверженном действию огня.</w:t>
      </w:r>
    </w:p>
    <w:bookmarkEnd w:id="3771"/>
    <w:bookmarkStart w:name="637605227" w:id="37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Включение установки пожаротушения трехфазной группы трансформаторов должно производиться только на поврежденные фазы.</w:t>
      </w:r>
    </w:p>
    <w:bookmarkEnd w:id="3772"/>
    <w:bookmarkStart w:name="637605228" w:id="37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1112. Каждый масляный трансформатор, размещаемый внутри помещений, устанавливается в отдельной камере,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подпункте 2) пункта 979 настоящих Правил, как для трансформаторов с массой масла более 600 кг.</w:t>
      </w:r>
    </w:p>
    <w:bookmarkEnd w:id="3773"/>
    <w:bookmarkStart w:name="637605229" w:id="37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необходимости установки трансформаторов внутри помещений выше второго этажа или ниже уровня пола первого этажа более чем на 1 м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руководствоваться также пунктом 957 настоящих Правил.</w:t>
      </w:r>
    </w:p>
    <w:bookmarkEnd w:id="3774"/>
    <w:bookmarkStart w:name="637605230" w:id="37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в одной общей камере двух масляных трансформаторов мощностью не более 1 МВ А каждый, имеющих общее назначение, управление и защиту и рассматриваемых как один агрегат.</w:t>
      </w:r>
    </w:p>
    <w:bookmarkEnd w:id="3775"/>
    <w:bookmarkStart w:name="637605231" w:id="37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Сухие трансформаторы или имеющие негорючее заполнение устанавливаются в общей камере в количестве до 6 шт., если это не вызывает усложнения в эксплуатации при проведении ремонта.</w:t>
      </w:r>
    </w:p>
    <w:bookmarkEnd w:id="3776"/>
    <w:bookmarkStart w:name="637605232" w:id="37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1113.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быть не менее:</w:t>
      </w:r>
    </w:p>
    <w:bookmarkEnd w:id="3777"/>
    <w:bookmarkStart w:name="637605233" w:id="37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до задней и боковых стен – 0,3 м для трансформаторов мощностью до 0,4 МВ А и 0,6 м для трансформаторов большей мощности;</w:t>
      </w:r>
    </w:p>
    <w:bookmarkEnd w:id="3778"/>
    <w:bookmarkStart w:name="637605234" w:id="37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со стороны входа, до полотна двери или выступающих частей стены – 0,6 м для трансформаторов мощностью до 0,4 МВЧА, 0,8 м для трансформаторов мощностью более 0,4 до 1,6 МВ А и 1 м для трансформаторов мощностью более 1,6 МВЧА.</w:t>
      </w:r>
    </w:p>
    <w:bookmarkEnd w:id="3779"/>
    <w:bookmarkStart w:name="637605235" w:id="37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1114. Пол камер масляных трансформаторов должен иметь уклон 2 % в сторону маслоприемника.</w:t>
      </w:r>
    </w:p>
    <w:bookmarkEnd w:id="3780"/>
    <w:bookmarkStart w:name="637605236" w:id="37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1115. Непосредственно за дверью камеры допускается устанавливать на высоте 1,2 м барьер (для осмотра трансформатора с порога, без захода в камеру).</w:t>
      </w:r>
    </w:p>
    <w:bookmarkEnd w:id="3781"/>
    <w:bookmarkStart w:name="637605237" w:id="37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1116. В камерах трансформаторов устанавливаются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p>
    <w:bookmarkEnd w:id="3782"/>
    <w:bookmarkStart w:name="637605238" w:id="37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1117.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w:t>
      </w:r>
    </w:p>
    <w:bookmarkEnd w:id="3783"/>
    <w:bookmarkStart w:name="637605239" w:id="37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Камеры, из которых трансформаторы выкатываются в цех, должны соответствовать требованиям, приведенным в пунктах 982, 990, 992 и 997 настоящих Правил.</w:t>
      </w:r>
    </w:p>
    <w:bookmarkEnd w:id="3784"/>
    <w:bookmarkStart w:name="637605240" w:id="37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1118. Расстояние по горизонтали от дверного проема трансформаторной камеры встроенной или пристроенной подстанции до проема ближайшего окна или двери помещения должно быть не менее 1 м.</w:t>
      </w:r>
    </w:p>
    <w:bookmarkEnd w:id="3785"/>
    <w:bookmarkStart w:name="637605241" w:id="37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Выкатка трансформаторов мощностью более 0,1 МВЧА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bookmarkEnd w:id="3786"/>
    <w:bookmarkStart w:name="637605242" w:id="37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1119. Вентиляционная система камер трансформаторов должна обеспечивать отвод выделяемой ими теплоты и не должна быть связана с другими вентиляционными системами.</w:t>
      </w:r>
    </w:p>
    <w:bookmarkEnd w:id="3787"/>
    <w:bookmarkStart w:name="637605243" w:id="37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Стенки вентиляционных каналов и шахт должны быть выполнены из несгораемых материалов и должны иметь предел огнестойкости не менее 0,75 ч.</w:t>
      </w:r>
    </w:p>
    <w:bookmarkEnd w:id="3788"/>
    <w:bookmarkStart w:name="637605244" w:id="37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bookmarkEnd w:id="3789"/>
    <w:bookmarkStart w:name="637605245" w:id="37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Вентиляционные проемы должны быть закрыты сетками с размером ячейки 1х1 см и защищены от попадания через них дождя и снега.</w:t>
      </w:r>
    </w:p>
    <w:bookmarkEnd w:id="3790"/>
    <w:bookmarkStart w:name="637605246" w:id="37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1120.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парапетом из несгораемого материала высотой не менее 0,6 м. Вывод шахт выше кровли здания в этом случае не обязателен.</w:t>
      </w:r>
    </w:p>
    <w:bookmarkEnd w:id="3791"/>
    <w:bookmarkStart w:name="637605247" w:id="37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p>
    <w:bookmarkEnd w:id="3792"/>
    <w:bookmarkStart w:name="637605248" w:id="37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над дверью или выходным вентиляционным отверстием камеры трансформатора имеется окно, то под окном устраивается козырек из несгораемого материала с вылетом не менее 0,7 м. Длина козырька должна быть больше ширины окна не менее чем на 0,8 м в каждую сторону.</w:t>
      </w:r>
    </w:p>
    <w:bookmarkEnd w:id="3793"/>
    <w:bookmarkStart w:name="637605249" w:id="37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1121. Трансформаторы с искусственным охлаждением должны быть снабжены устройствами для автоматического пуска и останова устройства системы охлаждения.</w:t>
      </w:r>
    </w:p>
    <w:bookmarkEnd w:id="3794"/>
    <w:bookmarkStart w:name="637605250" w:id="37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p>
    <w:bookmarkEnd w:id="3795"/>
    <w:bookmarkStart w:name="637605251" w:id="37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1122.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p>
    <w:bookmarkEnd w:id="3796"/>
    <w:bookmarkStart w:name="637605252" w:id="37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1123.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bookmarkEnd w:id="3797"/>
    <w:bookmarkStart w:name="637605253" w:id="3798"/>
    <w:p>
      <w:pPr>
        <w:spacing w:before="120" w:after="120" w:line="240"/>
        <w:ind w:left="0"/>
        <w:jc w:val="both"/>
      </w:pPr>
      <w:r>
        <w:rPr>
          <w:rFonts w:hint="default" w:ascii="Times New Roman" w:hAnsi="Times New Roman"/>
          <w:b w:val="false"/>
          <w:i w:val="false"/>
          <w:color w:val="000000"/>
          <w:sz w:val="24"/>
        </w:rPr>
        <w:t xml:space="preserve">1124. Охладительные колонки и другое оборудование в системе охлаждения Ц должны располагаться в помещении, температура в котором не снижается ниже плюс 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798"/>
    <w:bookmarkStart w:name="637605254" w:id="37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необходимых случаях должно быть предусмотрено отопление.</w:t>
      </w:r>
    </w:p>
    <w:bookmarkEnd w:id="3799"/>
    <w:bookmarkStart w:name="637605255" w:id="38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1125. Внешние маслопроводы систем охлаждения ДЦ и Ц должны выполняться из нержавеющей стали или материалов, устойчивых против коррозии.</w:t>
      </w:r>
    </w:p>
    <w:bookmarkEnd w:id="3800"/>
    <w:bookmarkStart w:name="637605256" w:id="38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1126. 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bookmarkEnd w:id="3801"/>
    <w:bookmarkStart w:name="637605257" w:id="38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1127.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p>
    <w:bookmarkEnd w:id="3802"/>
    <w:bookmarkStart w:name="637605258" w:id="38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1128.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bookmarkEnd w:id="3803"/>
    <w:bookmarkStart w:name="637605259" w:id="38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Групповые охладительные установки размещаются как непосредственно на фундаменте, так и на рельсах, уложенных на фундамент, если предусматривается выкатка этих установок на своих катках.</w:t>
      </w:r>
    </w:p>
    <w:bookmarkEnd w:id="3804"/>
    <w:bookmarkStart w:name="637605260" w:id="38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1129.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p>
    <w:bookmarkEnd w:id="3805"/>
    <w:bookmarkStart w:name="637605261" w:id="38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1130.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автоматическом включении резервного охладителя или резервного источника питания.</w:t>
      </w:r>
    </w:p>
    <w:bookmarkEnd w:id="3806"/>
    <w:bookmarkStart w:name="637605262" w:id="38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1131.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p>
    <w:bookmarkEnd w:id="3807"/>
    <w:bookmarkStart w:name="637605263" w:id="38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1132.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p>
    <w:bookmarkEnd w:id="3808"/>
    <w:bookmarkStart w:name="637605264" w:id="3809"/>
    <w:p>
      <w:pPr>
        <w:spacing w:before="120" w:after="120" w:line="240"/>
        <w:ind w:left="0"/>
        <w:jc w:val="both"/>
      </w:pPr>
      <w:r>
        <w:rPr>
          <w:rFonts w:hint="default" w:ascii="Times New Roman" w:hAnsi="Times New Roman"/>
          <w:b w:val="false"/>
          <w:i w:val="false"/>
          <w:color w:val="000000"/>
          <w:sz w:val="24"/>
        </w:rPr>
        <w:t xml:space="preserve">1133. Эластичные резервуары азотной защиты масла трансформатора должны быть защищены от солнечного излучения и от воздействия температуры ниже минус 35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809"/>
    <w:bookmarkStart w:name="637605265" w:id="38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1134. Для ремонта без разборки активной части трансформаторов до 220 кВ при массе кожуха или выемной части не более 25 тонн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p>
    <w:bookmarkEnd w:id="3810"/>
    <w:bookmarkStart w:name="637605266" w:id="38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1135. Стационарные устройства для ремонта трансформаторов без разборки активной части (башни, оборудованные мостовыми кранами) должны предусматриваться:</w:t>
      </w:r>
    </w:p>
    <w:bookmarkEnd w:id="3811"/>
    <w:bookmarkStart w:name="637605267" w:id="38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подстанциях 500 кВ и на подстанциях 220 кВ с трансформаторами 200 МВЧА и более, расположенных в труднодоступных или удаленных местах, с которых нецелесообразна отправка трансформаторов на ремонтные заводы;</w:t>
      </w:r>
    </w:p>
    <w:bookmarkEnd w:id="3812"/>
    <w:bookmarkStart w:name="637605268" w:id="38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p>
    <w:bookmarkEnd w:id="3813"/>
    <w:bookmarkStart w:name="637605269" w:id="38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1136. При наличии на подстанциях до 220 кВ трансформаторов без съемного кожуха с массой выемной активной части более 25 тонн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p>
    <w:bookmarkEnd w:id="3814"/>
    <w:bookmarkStart w:name="637605270" w:id="38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1137.При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w:t>
      </w:r>
    </w:p>
    <w:bookmarkEnd w:id="3815"/>
    <w:bookmarkStart w:name="637605271" w:id="38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1138.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способы механизации монтажных работ на месте установки трансформатора.</w:t>
      </w:r>
    </w:p>
    <w:bookmarkEnd w:id="3816"/>
    <w:bookmarkStart w:name="637605272" w:id="38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1139. Грузоподъемность крана в трансформаторной башне должна быть рассчитана на массу кожуха трансформатора.</w:t>
      </w:r>
    </w:p>
    <w:bookmarkEnd w:id="3817"/>
    <w:bookmarkStart w:name="637605273" w:id="3818"/>
    <w:p>
      <w:pPr>
        <w:spacing w:before="120" w:after="120" w:line="240"/>
        <w:ind w:left="0"/>
        <w:jc w:val="both"/>
      </w:pPr>
      <w:r>
        <w:rPr>
          <w:rFonts w:hint="default" w:ascii="Times New Roman" w:hAnsi="Times New Roman"/>
          <w:b/>
          <w:i w:val="false"/>
          <w:color w:val="000000"/>
          <w:sz w:val="24"/>
        </w:rPr>
        <w:t>17. Преобразовательные подстанции и установки</w:t>
      </w:r>
    </w:p>
    <w:bookmarkEnd w:id="3818"/>
    <w:bookmarkStart w:name="637605274" w:id="3819"/>
    <w:p>
      <w:pPr>
        <w:spacing w:before="120" w:after="120" w:line="240"/>
        <w:ind w:left="0"/>
        <w:jc w:val="center"/>
      </w:pPr>
      <w:r>
        <w:rPr>
          <w:rFonts w:hint="default" w:ascii="Times New Roman" w:hAnsi="Times New Roman"/>
          <w:b/>
          <w:i w:val="false"/>
          <w:color w:val="000000"/>
          <w:sz w:val="24"/>
        </w:rPr>
        <w:t>Параграф 1. Общие положения</w:t>
      </w:r>
    </w:p>
    <w:bookmarkEnd w:id="3819"/>
    <w:bookmarkStart w:name="637605275" w:id="38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1140.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p>
    <w:bookmarkEnd w:id="3820"/>
    <w:bookmarkStart w:name="637605276" w:id="38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1141. На преобразовательных подстанциях и установках предусматриваются устройства для компенсации реактивной мощности в объеме, определяемом технико-экономическим расчетом.</w:t>
      </w:r>
    </w:p>
    <w:bookmarkEnd w:id="3821"/>
    <w:bookmarkStart w:name="637605277" w:id="38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Степень резервирования питания собственных нужд преобразовательных подстанций и установок должна соответствовать степени резервирования питания преобразовательных агрегатов.</w:t>
      </w:r>
    </w:p>
    <w:bookmarkEnd w:id="3822"/>
    <w:bookmarkStart w:name="637605278" w:id="38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p>
    <w:bookmarkEnd w:id="3823"/>
    <w:bookmarkStart w:name="637605279" w:id="38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1142.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w:t>
      </w:r>
    </w:p>
    <w:bookmarkEnd w:id="3824"/>
    <w:bookmarkStart w:name="637605280" w:id="38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монтажа, разборки и сборки преобразователей и другого оборудования предусматриваются инвентарные (применяемые стационарно или передвижные) подъемно-транспортные устройства.</w:t>
      </w:r>
    </w:p>
    <w:bookmarkEnd w:id="3825"/>
    <w:bookmarkStart w:name="637605281" w:id="38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преобразовательных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открытых переносных светильников применяется напряжение не выше 25 В переменного тока или 60 В постоянного тока.</w:t>
      </w:r>
    </w:p>
    <w:bookmarkEnd w:id="3826"/>
    <w:bookmarkStart w:name="637605282" w:id="3827"/>
    <w:p>
      <w:pPr>
        <w:spacing w:before="120" w:after="120" w:line="240"/>
        <w:ind w:left="0"/>
        <w:jc w:val="center"/>
      </w:pPr>
      <w:r>
        <w:rPr>
          <w:rFonts w:hint="default" w:ascii="Times New Roman" w:hAnsi="Times New Roman"/>
          <w:b/>
          <w:i w:val="false"/>
          <w:color w:val="000000"/>
          <w:sz w:val="24"/>
        </w:rPr>
        <w:t>Параграф 2. Защита преобразовательных агрегатов</w:t>
      </w:r>
    </w:p>
    <w:bookmarkEnd w:id="3827"/>
    <w:bookmarkStart w:name="637605283" w:id="38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1143.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p>
    <w:bookmarkEnd w:id="3828"/>
    <w:bookmarkStart w:name="637605284" w:id="38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p>
    <w:bookmarkEnd w:id="3829"/>
    <w:bookmarkStart w:name="637605285" w:id="38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p>
    <w:bookmarkEnd w:id="3830"/>
    <w:bookmarkStart w:name="637605286" w:id="38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p>
    <w:bookmarkEnd w:id="3831"/>
    <w:bookmarkStart w:name="637605287" w:id="38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установках с первичным напряжением выше 1 кВ максимальная токовая защита, должна выполняться двухфазной в трехрелейном исполнении.</w:t>
      </w:r>
    </w:p>
    <w:bookmarkEnd w:id="3832"/>
    <w:bookmarkStart w:name="637605288" w:id="38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установках с первичным напряжением до 1 кВ защита трансформатора выполняется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p>
    <w:bookmarkEnd w:id="3833"/>
    <w:bookmarkStart w:name="637605289" w:id="38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газовой защитой от внутренних повреждений и понижения уровня масла в трансформаторе.</w:t>
      </w:r>
    </w:p>
    <w:bookmarkEnd w:id="3834"/>
    <w:bookmarkStart w:name="637605290" w:id="38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Газовая защита должна устанавливаться на трансформаторах мощностью 1 МВЧА и более, а для внутрицеховых преобразовательных подстанций и установок – на трансформаторах мощностью 0,4 МВЧА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p>
    <w:bookmarkEnd w:id="3835"/>
    <w:bookmarkStart w:name="637605291" w:id="38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зависимости от наличия персонала 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уровня в расширителе трансформатора;</w:t>
      </w:r>
    </w:p>
    <w:bookmarkEnd w:id="3836"/>
    <w:bookmarkStart w:name="637605292" w:id="38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защитой от повышения давления (реле давления) герметичных трансформаторов с действием ее на сигнал для трансформаторов мощностью до 0,63 МВЧА и с действием на отключение для трансформаторов мощностью более 0,63 МВЧА;</w:t>
      </w:r>
    </w:p>
    <w:bookmarkEnd w:id="3837"/>
    <w:bookmarkStart w:name="637605293" w:id="38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защитой от перенапряжений на стороне вторичного напряжения трансформатора при выпрямленном напряжении 600 В и выше;</w:t>
      </w:r>
    </w:p>
    <w:bookmarkEnd w:id="3838"/>
    <w:bookmarkStart w:name="637605294" w:id="38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пробивным предохранителем, установленным в нейтрали или фазе на стороне низшего напряжения трансформатора, при вторичном напряжении до 1 кВ.</w:t>
      </w:r>
    </w:p>
    <w:bookmarkEnd w:id="3839"/>
    <w:bookmarkStart w:name="637605295" w:id="38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p>
    <w:bookmarkEnd w:id="3840"/>
    <w:bookmarkStart w:name="637605296" w:id="38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1144.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пункту 1142 настоящих Правил должен быть оборудован:</w:t>
      </w:r>
    </w:p>
    <w:bookmarkEnd w:id="3841"/>
    <w:bookmarkStart w:name="637605297" w:id="38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Предусматривается сигнализация, реагирующая на перегорание предохранителей;</w:t>
      </w:r>
    </w:p>
    <w:bookmarkEnd w:id="3842"/>
    <w:bookmarkStart w:name="637605298" w:id="38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p>
    <w:bookmarkEnd w:id="3843"/>
    <w:bookmarkStart w:name="637605299" w:id="38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p>
    <w:bookmarkEnd w:id="3844"/>
    <w:bookmarkStart w:name="637605300" w:id="38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p>
    <w:bookmarkEnd w:id="3845"/>
    <w:bookmarkStart w:name="637605301" w:id="38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p>
    <w:bookmarkEnd w:id="3846"/>
    <w:bookmarkStart w:name="637605302" w:id="38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защитой от внутренних и внешних перенапряжений.</w:t>
      </w:r>
    </w:p>
    <w:bookmarkEnd w:id="3847"/>
    <w:bookmarkStart w:name="637605303" w:id="38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1145.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p>
    <w:bookmarkEnd w:id="3848"/>
    <w:bookmarkStart w:name="637605304" w:id="38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превышение допустимой температуры масла или негорючей жидкости трансформатора;</w:t>
      </w:r>
    </w:p>
    <w:bookmarkEnd w:id="3849"/>
    <w:bookmarkStart w:name="637605305" w:id="38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превышение допустимой температуры воды, охлаждающей полупроводниковый преобразователь;</w:t>
      </w:r>
    </w:p>
    <w:bookmarkEnd w:id="3850"/>
    <w:bookmarkStart w:name="637605306" w:id="38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перегорание предохранителя в силовой цепи полупроводникового вентиля;</w:t>
      </w:r>
    </w:p>
    <w:bookmarkEnd w:id="3851"/>
    <w:bookmarkStart w:name="637605307" w:id="38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прекращение действия воздушного или водяного охлаждения;</w:t>
      </w:r>
    </w:p>
    <w:bookmarkEnd w:id="3852"/>
    <w:bookmarkStart w:name="637605308" w:id="38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длительная перегрузка преобразовательного агрегата;</w:t>
      </w:r>
    </w:p>
    <w:bookmarkEnd w:id="3853"/>
    <w:bookmarkStart w:name="637605309" w:id="38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отсутствие управляющих импульсов;</w:t>
      </w:r>
    </w:p>
    <w:bookmarkEnd w:id="3854"/>
    <w:bookmarkStart w:name="637605310" w:id="38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повреждение (снижение уровня) изоляции установки;</w:t>
      </w:r>
    </w:p>
    <w:bookmarkEnd w:id="3855"/>
    <w:bookmarkStart w:name="637605311" w:id="38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нарушение работы в других устройствах собственных нужд преобразовательного агрегата, препятствующих его нормальной работе.</w:t>
      </w:r>
    </w:p>
    <w:bookmarkEnd w:id="3856"/>
    <w:bookmarkStart w:name="637605312" w:id="38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1146. На преобразовательных подстанциях (установках) с дежурством персонала или при контроле их работы диспетчером устройства защиты, контроля и сигнализации, указанные в подпунктах 1), 5), 7) и 8) пункта 1145 настоящих Правил, должны действовать на сигнал, а указанные в подпункте 6) пункта 1145 настоящих Правил – на отключение преобразовательного агрегата.</w:t>
      </w:r>
    </w:p>
    <w:bookmarkEnd w:id="3857"/>
    <w:bookmarkStart w:name="637605313" w:id="38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преобразовательных подстанциях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пункте 1145 настоящих Правил, должны действовать на отключение преобразовательного агрегата.</w:t>
      </w:r>
    </w:p>
    <w:bookmarkEnd w:id="3858"/>
    <w:bookmarkStart w:name="637605314" w:id="38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отдельных случаях, исходя из местных условий, допускается действие устройств, указанных в подпункте 1) пункта 1145 настоящих Правил на сигнал.</w:t>
      </w:r>
    </w:p>
    <w:bookmarkEnd w:id="3859"/>
    <w:bookmarkStart w:name="637605315" w:id="3860"/>
    <w:p>
      <w:pPr>
        <w:spacing w:before="120" w:after="120" w:line="240"/>
        <w:ind w:left="0"/>
        <w:jc w:val="center"/>
      </w:pPr>
      <w:r>
        <w:rPr>
          <w:rFonts w:hint="default" w:ascii="Times New Roman" w:hAnsi="Times New Roman"/>
          <w:b/>
          <w:i w:val="false"/>
          <w:color w:val="000000"/>
          <w:sz w:val="24"/>
        </w:rPr>
        <w:t>Параграф 3. Размещение оборудования, защитные мероприятия</w:t>
      </w:r>
    </w:p>
    <w:bookmarkEnd w:id="3860"/>
    <w:bookmarkStart w:name="637605316" w:id="38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1147.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устанавливаются в общей камере.</w:t>
      </w:r>
    </w:p>
    <w:bookmarkEnd w:id="3861"/>
    <w:bookmarkStart w:name="637605317" w:id="38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маслонаполненного оборудования должна производиться в соответствии с требованиями главы 19 настоящих Правил. На комплектные преобразовательные подстанции и установки распространяются также требования, указанные в пунктах 988, 989 настоящих Правил.</w:t>
      </w:r>
    </w:p>
    <w:bookmarkEnd w:id="3862"/>
    <w:bookmarkStart w:name="637605318" w:id="38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1148.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w:t>
      </w:r>
    </w:p>
    <w:bookmarkEnd w:id="3863"/>
    <w:bookmarkStart w:name="637605319" w:id="38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производственных помещениях полупроводниковые преобразователи устанавливаются в шкафах.</w:t>
      </w:r>
    </w:p>
    <w:bookmarkEnd w:id="3864"/>
    <w:bookmarkStart w:name="637605320" w:id="38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p>
    <w:bookmarkEnd w:id="3865"/>
    <w:bookmarkStart w:name="637605321" w:id="38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1149. Открытые полупроводниковые преобразователи такие, которые имеют доступные для прикосновения части, находящиеся под напряжением, устанавливаются только в электропомещениях. При этом, преобразователи выше 1 кВ должны иметь сплошное или сетчатое ограждение высотой не менее 1,9 м. Ячейки сетки ограждения должны быть размером не более 25х25 мм.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p>
    <w:bookmarkEnd w:id="3866"/>
    <w:bookmarkStart w:name="637605322" w:id="38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1150. Открытые преобразователи до 1 кВ устанавливаются:</w:t>
      </w:r>
    </w:p>
    <w:bookmarkEnd w:id="3867"/>
    <w:bookmarkStart w:name="637605323" w:id="38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защищены изолированными от земли ограждениями.</w:t>
      </w:r>
    </w:p>
    <w:bookmarkEnd w:id="3868"/>
    <w:bookmarkStart w:name="637605324" w:id="38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1 м;</w:t>
      </w:r>
    </w:p>
    <w:bookmarkEnd w:id="3869"/>
    <w:bookmarkStart w:name="637605325" w:id="38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пункте 1147 настоящих Правил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bookmarkEnd w:id="3870"/>
    <w:bookmarkStart w:name="637605326" w:id="38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1151. 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w:t>
      </w:r>
    </w:p>
    <w:bookmarkEnd w:id="3871"/>
    <w:bookmarkStart w:name="637605327" w:id="38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Несколько открытых преобразователей, относящихся к одному преобразовательному агрегату, допускается ограждать одним общим ограждением.</w:t>
      </w:r>
    </w:p>
    <w:bookmarkEnd w:id="3872"/>
    <w:bookmarkStart w:name="637605328" w:id="38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1152. При установке открытых преобразователей до 1 кВ на неизолированном полу в электропомещениях расстояния по горизонтали должны быть не менее:</w:t>
      </w:r>
    </w:p>
    <w:bookmarkEnd w:id="3873"/>
    <w:bookmarkStart w:name="637605329" w:id="38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 частей преобразователя, находящихся под напряжением, до заземленных ограждений, стен со стороны, где не требуется обслуживание преобразователей, 50 мм;</w:t>
      </w:r>
    </w:p>
    <w:bookmarkEnd w:id="3874"/>
    <w:bookmarkStart w:name="637605330" w:id="38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 частей одного преобразователя, находящихся под напряжением, до заземленных частей другого преобразователя, заземленных ограждений, стен со стороны обслуживания 1,5 м;</w:t>
      </w:r>
    </w:p>
    <w:bookmarkEnd w:id="3875"/>
    <w:bookmarkStart w:name="637605331" w:id="38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между заземленными частями разных преобразователей, а также от заземленных частей преобразователя до заземленных ограждений, стен со стороны обслуживания 0,8 м;</w:t>
      </w:r>
    </w:p>
    <w:bookmarkEnd w:id="3876"/>
    <w:bookmarkStart w:name="637605332" w:id="38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между частями, находящимися под напряжением, разных преобразователей со стороны обслуживания 2,0 м.</w:t>
      </w:r>
    </w:p>
    <w:bookmarkEnd w:id="3877"/>
    <w:bookmarkStart w:name="637605333" w:id="38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указанные в подпунктах 2) и 4) настоящего пункта, установлены из условия обеспечения захода обслуживающего персонала внутрь ограждений без снятия напряжения с преобразователей.</w:t>
      </w:r>
    </w:p>
    <w:bookmarkEnd w:id="3878"/>
    <w:bookmarkStart w:name="637605334" w:id="38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1153. При установке открытых преобразователей выше 1 кВ в электропомещениях расстояния по горизонтали должны быть не менее:</w:t>
      </w:r>
    </w:p>
    <w:bookmarkEnd w:id="3879"/>
    <w:bookmarkStart w:name="637605335" w:id="38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 частей преобразователя, находящихся под напряжением, до ограждений, стен со стороны, где не требуется обслуживание преобразователей, при напряжении 3 кВ – 165 мм, 6 кВ – 190 мм, 10 кВ – 220 мм;</w:t>
      </w:r>
    </w:p>
    <w:bookmarkEnd w:id="3880"/>
    <w:bookmarkStart w:name="637605336" w:id="38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между заземленными частями разных преобразователей, а также от заземленных частей преобразователя до ограждений, стен со стороны обслуживания – 0,8 м это расстояние установлено из условия обеспечения обслуживания преобразователя при отсутствии напряжения.</w:t>
      </w:r>
    </w:p>
    <w:bookmarkEnd w:id="3881"/>
    <w:bookmarkStart w:name="637605337" w:id="38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1154.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p>
    <w:bookmarkEnd w:id="3882"/>
    <w:bookmarkStart w:name="637605338" w:id="3883"/>
    <w:p>
      <w:pPr>
        <w:spacing w:before="120" w:after="120" w:line="240"/>
        <w:ind w:left="0"/>
        <w:jc w:val="both"/>
      </w:pPr>
      <w:r>
        <w:rPr>
          <w:rFonts w:hint="default" w:ascii="Times New Roman" w:hAnsi="Times New Roman"/>
          <w:b w:val="false"/>
          <w:i w:val="false"/>
          <w:color w:val="000000"/>
          <w:sz w:val="24"/>
        </w:rPr>
        <w:t xml:space="preserve">1155. 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1 метра при открытой на 90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двери шкафа допускается сужение прохода до 0,6 метра.</w:t>
      </w:r>
    </w:p>
    <w:bookmarkEnd w:id="3883"/>
    <w:bookmarkStart w:name="637605339" w:id="3884"/>
    <w:p>
      <w:pPr>
        <w:spacing w:before="120" w:after="120" w:line="240"/>
        <w:ind w:left="0"/>
        <w:jc w:val="both"/>
      </w:pPr>
      <w:r>
        <w:rPr>
          <w:rFonts w:hint="default" w:ascii="Times New Roman" w:hAnsi="Times New Roman"/>
          <w:b w:val="false"/>
          <w:i w:val="false"/>
          <w:color w:val="000000"/>
          <w:sz w:val="24"/>
        </w:rPr>
        <w:t>При двухрядном расположении шкафов ширина прохода обслуживания между шкафами должна быть не менее 1,2 метра при открытых на 90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дверях двух шкафов, расположенных один против другого, между дверями должен оставаться проход шириной не менее 0,6 метра.</w:t>
      </w:r>
    </w:p>
    <w:bookmarkEnd w:id="3884"/>
    <w:bookmarkStart w:name="637605340" w:id="38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электрооборудования в шкафах на выдвижных тележках ширина проходов должна быть не менее:</w:t>
      </w:r>
    </w:p>
    <w:bookmarkEnd w:id="3885"/>
    <w:bookmarkStart w:name="637605341" w:id="38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при однорядном размещении шкафов – длины тележки плюс 0,6 метра;</w:t>
      </w:r>
    </w:p>
    <w:bookmarkEnd w:id="3886"/>
    <w:bookmarkStart w:name="637605342" w:id="38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двухрядном размещении – длины тележки плюс 0,8 метра.</w:t>
      </w:r>
    </w:p>
    <w:bookmarkEnd w:id="3887"/>
    <w:bookmarkStart w:name="637605343" w:id="38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всех случаях ширина проходов должна быть не менее размера тележки по диагонали.</w:t>
      </w:r>
    </w:p>
    <w:bookmarkEnd w:id="3888"/>
    <w:bookmarkStart w:name="637605344" w:id="38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1156. Аноды преобразователей и их охладители должны быть окрашены в яркий цвет, отличный от цвета остальных частей преобразователя.</w:t>
      </w:r>
    </w:p>
    <w:bookmarkEnd w:id="3889"/>
    <w:bookmarkStart w:name="637605345" w:id="38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1157. На корпусе преобразователя должны быть нанесены предупреждающие знаки с указанием напряжения преобразователя при холостом ходе.</w:t>
      </w:r>
    </w:p>
    <w:bookmarkEnd w:id="3890"/>
    <w:bookmarkStart w:name="637605346" w:id="38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1158.В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минуты следующее испытательное напряжение переменного тока частотой 50 Гц:</w:t>
      </w:r>
    </w:p>
    <w:bookmarkEnd w:id="3891"/>
    <w:bookmarkStart w:name="637605347" w:id="3892"/>
    <w:tbl>
      <w:tblPr>
        <w:tblW w:w="18660" w:type="auto"/>
        <w:tblCellSpacing w:w="0" w:type="auto"/>
        <w:tblBorders>
          <w:top w:val="none"/>
          <w:left w:val="none"/>
          <w:bottom w:val="none"/>
          <w:right w:val="none"/>
          <w:insideH w:val="none"/>
          <w:insideV w:val="none"/>
        </w:tblBorders>
        <w:tblLayout/>
      </w:tblPr>
      <w:tblGrid>
        <w:gridCol w:w="8011"/>
        <w:gridCol w:w="1585"/>
        <w:gridCol w:w="1611"/>
        <w:gridCol w:w="1611"/>
        <w:gridCol w:w="3182"/>
      </w:tblGrid>
      <w:tr>
        <w:trPr>
          <w:trHeight w:val="30" w:hRule="atLeast"/>
        </w:trPr>
        <w:tc>
          <w:tcPr>
            <w:tcW w:w="8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цепей, В</w:t>
            </w:r>
          </w:p>
        </w:tc>
        <w:tc>
          <w:tcPr>
            <w:tcW w:w="1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60</w:t>
            </w:r>
          </w:p>
        </w:tc>
        <w:tc>
          <w:tcPr>
            <w:tcW w:w="16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6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31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500</w:t>
            </w:r>
          </w:p>
        </w:tc>
      </w:tr>
      <w:tr>
        <w:trPr>
          <w:trHeight w:val="30" w:hRule="atLeast"/>
        </w:trPr>
        <w:tc>
          <w:tcPr>
            <w:tcW w:w="8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c>
          <w:tcPr>
            <w:tcW w:w="1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16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1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 но не менее 3</w:t>
            </w:r>
          </w:p>
        </w:tc>
      </w:tr>
    </w:tbl>
    <w:bookmarkEnd w:id="3892"/>
    <w:bookmarkStart w:name="637605348" w:id="3893"/>
    <w:p>
      <w:pPr>
        <w:spacing w:before="120" w:after="120" w:line="240"/>
        <w:ind w:left="0"/>
        <w:jc w:val="both"/>
      </w:pPr>
      <w:r>
        <w:rPr>
          <w:b w:val="false"/>
          <w:i w:val="false"/>
          <w:color w:val="000000"/>
          <w:sz w:val="24"/>
        </w:rPr>
        <w:t> </w:t>
      </w:r>
      <w:r>
        <w:br/>
      </w:r>
      <w:r>
        <w:rPr>
          <w:b w:val="false"/>
          <w:i w:val="false"/>
          <w:color w:val="000000"/>
          <w:sz w:val="24"/>
        </w:rPr>
        <w:t>
 U</w:t>
      </w:r>
      <w:r>
        <w:rPr>
          <w:b w:val="false"/>
          <w:i w:val="false"/>
          <w:color w:val="000000"/>
          <w:vertAlign w:val="subscript"/>
        </w:rPr>
        <w:t>d0</w:t>
      </w:r>
      <w:r>
        <w:rPr>
          <w:b w:val="false"/>
          <w:i w:val="false"/>
          <w:color w:val="000000"/>
          <w:sz w:val="24"/>
        </w:rPr>
        <w:t xml:space="preserve"> – выпрямленное напряжение холостого хода.</w:t>
      </w:r>
    </w:p>
    <w:bookmarkEnd w:id="3893"/>
    <w:bookmarkStart w:name="637605349" w:id="38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p>
    <w:bookmarkEnd w:id="3894"/>
    <w:bookmarkStart w:name="637605350" w:id="38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1159. Первичные цепи выпрямленного тока должны иметь изоляцию, соответствующих их рабочему напряжению.</w:t>
      </w:r>
    </w:p>
    <w:bookmarkEnd w:id="3895"/>
    <w:bookmarkStart w:name="637605351" w:id="3896"/>
    <w:p>
      <w:pPr>
        <w:spacing w:before="120" w:after="120" w:line="240"/>
        <w:ind w:left="0"/>
        <w:jc w:val="center"/>
      </w:pPr>
      <w:r>
        <w:rPr>
          <w:rFonts w:hint="default" w:ascii="Times New Roman" w:hAnsi="Times New Roman"/>
          <w:b/>
          <w:i w:val="false"/>
          <w:color w:val="000000"/>
          <w:sz w:val="24"/>
        </w:rPr>
        <w:t>Параграф 4. Охлаждение преобразователей</w:t>
      </w:r>
    </w:p>
    <w:bookmarkEnd w:id="3896"/>
    <w:bookmarkStart w:name="637605352" w:id="38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1160.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p>
    <w:bookmarkEnd w:id="3897"/>
    <w:bookmarkStart w:name="637605353" w:id="3898"/>
    <w:p>
      <w:pPr>
        <w:spacing w:before="120" w:after="120" w:line="240"/>
        <w:ind w:left="0"/>
        <w:jc w:val="both"/>
      </w:pPr>
      <w:r>
        <w:rPr>
          <w:rFonts w:hint="default" w:ascii="Times New Roman" w:hAnsi="Times New Roman"/>
          <w:b w:val="false"/>
          <w:i w:val="false"/>
          <w:color w:val="000000"/>
          <w:sz w:val="24"/>
        </w:rPr>
        <w:t>1161. При воздушном охлаждении преобразователей содержание пыли в воздухе не должно превышать 0,7 мг/м</w:t>
      </w:r>
      <w:r>
        <w:rPr>
          <w:rFonts w:hint="default" w:ascii="Times New Roman" w:hAnsi="Times New Roman"/>
          <w:b w:val="false"/>
          <w:i w:val="false"/>
          <w:color w:val="000000"/>
          <w:vertAlign w:val="superscript"/>
        </w:rPr>
        <w:t>3</w:t>
      </w:r>
      <w:r>
        <w:rPr>
          <w:rFonts w:hint="default" w:ascii="Times New Roman" w:hAnsi="Times New Roman"/>
          <w:b w:val="false"/>
          <w:i w:val="false"/>
          <w:color w:val="000000"/>
          <w:sz w:val="24"/>
        </w:rPr>
        <w:t xml:space="preserve"> . При большей концентрации пыли должна быть предусмотрена очистка воздуха.</w:t>
      </w:r>
    </w:p>
    <w:bookmarkEnd w:id="3898"/>
    <w:bookmarkStart w:name="637605354" w:id="38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1162.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p>
    <w:bookmarkEnd w:id="3899"/>
    <w:bookmarkStart w:name="637605355" w:id="39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1163. При охлаждении преобразователей водой, применяется замкнутая циркуляционная система.</w:t>
      </w:r>
    </w:p>
    <w:bookmarkEnd w:id="3900"/>
    <w:bookmarkStart w:name="637605356" w:id="39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p>
    <w:bookmarkEnd w:id="3901"/>
    <w:bookmarkStart w:name="637605357" w:id="39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1164.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p>
    <w:bookmarkEnd w:id="3902"/>
    <w:bookmarkStart w:name="637605358" w:id="39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p>
    <w:bookmarkEnd w:id="3903"/>
    <w:bookmarkStart w:name="637605359" w:id="39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1165.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Охлаждающая вода подается в теплообменник через изоляционную вставку (шланг пли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подпункта 2) пункта 1150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p>
    <w:bookmarkEnd w:id="3904"/>
    <w:bookmarkStart w:name="637605360" w:id="39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1166.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p>
    <w:bookmarkEnd w:id="3905"/>
    <w:bookmarkStart w:name="637605361" w:id="39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1167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p>
    <w:bookmarkEnd w:id="3906"/>
    <w:bookmarkStart w:name="637605362" w:id="39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1168.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w:t>
      </w:r>
    </w:p>
    <w:bookmarkEnd w:id="3907"/>
    <w:bookmarkStart w:name="637605363" w:id="3908"/>
    <w:p>
      <w:pPr>
        <w:spacing w:before="120" w:after="120" w:line="240"/>
        <w:ind w:left="0"/>
        <w:jc w:val="both"/>
      </w:pPr>
      <w:r>
        <w:rPr>
          <w:rFonts w:hint="default" w:ascii="Times New Roman" w:hAnsi="Times New Roman"/>
          <w:b/>
          <w:i w:val="false"/>
          <w:color w:val="000000"/>
          <w:sz w:val="24"/>
        </w:rPr>
        <w:t>18. Аккумуляторные установки</w:t>
      </w:r>
    </w:p>
    <w:bookmarkEnd w:id="3908"/>
    <w:bookmarkStart w:name="637605364" w:id="3909"/>
    <w:p>
      <w:pPr>
        <w:spacing w:before="120" w:after="120" w:line="240"/>
        <w:ind w:left="0"/>
        <w:jc w:val="center"/>
      </w:pPr>
      <w:r>
        <w:rPr>
          <w:rFonts w:hint="default" w:ascii="Times New Roman" w:hAnsi="Times New Roman"/>
          <w:b/>
          <w:i w:val="false"/>
          <w:color w:val="000000"/>
          <w:sz w:val="24"/>
        </w:rPr>
        <w:t>Параграф 1. Электрическая часть</w:t>
      </w:r>
    </w:p>
    <w:bookmarkEnd w:id="3909"/>
    <w:bookmarkStart w:name="637605365" w:id="39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1169.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относящихся к взрывоопасным, а также установка и монтаж указанного оборудования должны производиться в соответствии с требованиями, приведенными в главе 24 настоящих Правил.</w:t>
      </w:r>
    </w:p>
    <w:bookmarkEnd w:id="3910"/>
    <w:bookmarkStart w:name="637605366" w:id="39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1170 Зарядное устройство должно иметь мощность и напряжение, достаточные для заряда аккумуляторной батареи на 90 % номинальной емкости в течение не более 8 часов при предшествующем 30-минутном разряде.</w:t>
      </w:r>
    </w:p>
    <w:bookmarkEnd w:id="3911"/>
    <w:bookmarkStart w:name="637605367" w:id="39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1171. Аккумуляторная установка должна быть оборудована устройствами контроля и измерения напряжения и тока.</w:t>
      </w:r>
    </w:p>
    <w:bookmarkEnd w:id="3912"/>
    <w:bookmarkStart w:name="637605368" w:id="39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1172. НДля зарядных и подзарядных двигателей-генераторов должны предусматриваться устройства для их отключения при появлении обратного тока.</w:t>
      </w:r>
    </w:p>
    <w:bookmarkEnd w:id="3913"/>
    <w:bookmarkStart w:name="637605369" w:id="39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1173. В цепи аккумуляторной батареи, устанавливается автоматический выключатель, селективный по отношению к защитным аппаратам сети.</w:t>
      </w:r>
    </w:p>
    <w:bookmarkEnd w:id="3914"/>
    <w:bookmarkStart w:name="637605370" w:id="39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1174. Подзарядное устройство должно обеспечивать стабилизацию напряжения на шинах батареи в пределах ±2 %.</w:t>
      </w:r>
    </w:p>
    <w:bookmarkEnd w:id="3915"/>
    <w:bookmarkStart w:name="637605371" w:id="39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1175.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p>
    <w:bookmarkEnd w:id="3916"/>
    <w:bookmarkStart w:name="637605372" w:id="39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1176.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p>
    <w:bookmarkEnd w:id="3917"/>
    <w:bookmarkStart w:name="637605373" w:id="39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1177.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p>
    <w:bookmarkEnd w:id="3918"/>
    <w:bookmarkStart w:name="637605374" w:id="39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1178.Для аккумуляторной батареи предусматривается блокировка, не допускающую проведения заряда батареи с напряжением более 2,3 В на элемент при отключенной вентиляции.</w:t>
      </w:r>
    </w:p>
    <w:bookmarkEnd w:id="3919"/>
    <w:bookmarkStart w:name="637605375" w:id="39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1179. В помещении аккумуляторной батареи один светильник должен быть присоединен к сети аварийного освещения.</w:t>
      </w:r>
    </w:p>
    <w:bookmarkEnd w:id="3920"/>
    <w:bookmarkStart w:name="637605376" w:id="39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1180.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устанавливаются в один ряд при одностороннем их обслуживании или в два ряда при двустороннем.</w:t>
      </w:r>
    </w:p>
    <w:bookmarkEnd w:id="3921"/>
    <w:bookmarkStart w:name="637605377" w:id="39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применения сдвоенных стеклянных сосудов они рассматриваются как один аккумулятор.</w:t>
      </w:r>
    </w:p>
    <w:bookmarkEnd w:id="3922"/>
    <w:bookmarkStart w:name="637605378" w:id="39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1181. Стеллажи для установки аккумуляторов должны быть выполнены, испытаны и маркированы в соответствии с требованиями технических условий; они должны быть защищены от воздействия электролита стойким покрытием.</w:t>
      </w:r>
    </w:p>
    <w:bookmarkEnd w:id="3923"/>
    <w:bookmarkStart w:name="637605379" w:id="39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1182.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устанавливаются без изолирующих подкладок.</w:t>
      </w:r>
    </w:p>
    <w:bookmarkEnd w:id="3924"/>
    <w:bookmarkStart w:name="637605380" w:id="39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1183.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аккумуляторных батарей должно производиться с соблюдением требований на стеллажи для стационарных установок электрических аккумуляторов.</w:t>
      </w:r>
    </w:p>
    <w:bookmarkEnd w:id="3925"/>
    <w:bookmarkStart w:name="637605381" w:id="39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1184. Расстояние от аккумуляторов до отопительных приборов должно быть не менее 750 мм. Это расстояние может быть уменьшено при условии установки тепловых экранов из несгораемых материалов, исключающих местный нагрев аккумуляторов.</w:t>
      </w:r>
    </w:p>
    <w:bookmarkEnd w:id="3926"/>
    <w:bookmarkStart w:name="637605382" w:id="39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1185. Расстояния между токоведущими частями аккумуляторов должны быть не менее 0,8 м при напряжении выше 65 В до 250 В в период нормальной работы (не заряд 1) и 1 м – при напряжении выше 250 В.</w:t>
      </w:r>
    </w:p>
    <w:bookmarkEnd w:id="3927"/>
    <w:bookmarkStart w:name="637605383" w:id="39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заряде).</w:t>
      </w:r>
    </w:p>
    <w:bookmarkEnd w:id="3928"/>
    <w:bookmarkStart w:name="637605384" w:id="39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p>
    <w:bookmarkEnd w:id="3929"/>
    <w:bookmarkStart w:name="637605385" w:id="39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1186.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w:t>
      </w:r>
    </w:p>
    <w:bookmarkEnd w:id="3930"/>
    <w:bookmarkStart w:name="637605386" w:id="39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p>
    <w:bookmarkEnd w:id="3931"/>
    <w:bookmarkStart w:name="637605387" w:id="39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Места присоединения шин и кабелей к аккумуляторам должны обслуживаться.</w:t>
      </w:r>
    </w:p>
    <w:bookmarkEnd w:id="3932"/>
    <w:bookmarkStart w:name="637605388" w:id="39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p>
    <w:bookmarkEnd w:id="3933"/>
    <w:bookmarkStart w:name="637605389" w:id="39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1187.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p>
    <w:bookmarkEnd w:id="3934"/>
    <w:bookmarkStart w:name="637605390" w:id="39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1188.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50 мм.</w:t>
      </w:r>
    </w:p>
    <w:bookmarkEnd w:id="3935"/>
    <w:bookmarkStart w:name="637605391" w:id="39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1189. Шины должны прокладываться на изоляторах и закрепляться на них шинодержателями.</w:t>
      </w:r>
    </w:p>
    <w:bookmarkEnd w:id="3936"/>
    <w:bookmarkStart w:name="637605392" w:id="39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Пролет между опорными точками шин определяется расчетом на динамическую стойкость (с учетом пункта 1149 настоящих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bookmarkEnd w:id="3937"/>
    <w:bookmarkStart w:name="637605393" w:id="39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1190. Выводная плита из помещения аккумуляторной батареи должна быть стойкой против воздействия паров электролита. Применяются плиты из пропитанного парафином асбоцемента, эбонита. Применение для плит мрамора, а также фанеры и других материалов слоистой структуры не допускается.</w:t>
      </w:r>
    </w:p>
    <w:bookmarkEnd w:id="3938"/>
    <w:bookmarkStart w:name="637605394" w:id="39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плит в перекрытии плоскость плиты должна возвышаться над ним не менее чем на 100 мм.</w:t>
      </w:r>
    </w:p>
    <w:bookmarkEnd w:id="3939"/>
    <w:bookmarkStart w:name="637605395" w:id="3940"/>
    <w:p>
      <w:pPr>
        <w:spacing w:before="120" w:after="120" w:line="240"/>
        <w:ind w:left="0"/>
        <w:jc w:val="both"/>
      </w:pPr>
      <w:r>
        <w:rPr>
          <w:rFonts w:hint="default" w:ascii="Times New Roman" w:hAnsi="Times New Roman"/>
          <w:b w:val="false"/>
          <w:i w:val="false"/>
          <w:color w:val="000000"/>
          <w:sz w:val="24"/>
        </w:rPr>
        <w:t xml:space="preserve">1191. При выборе и расчете аккумуляторной батареи учитывается уменьшение ее емкости при температуре в помещении аккумуляторной батареи ниже +15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940"/>
    <w:bookmarkStart w:name="637605396" w:id="3941"/>
    <w:p>
      <w:pPr>
        <w:spacing w:before="120" w:after="120" w:line="240"/>
        <w:ind w:left="0"/>
        <w:jc w:val="center"/>
      </w:pPr>
      <w:r>
        <w:rPr>
          <w:rFonts w:hint="default" w:ascii="Times New Roman" w:hAnsi="Times New Roman"/>
          <w:b/>
          <w:i w:val="false"/>
          <w:color w:val="000000"/>
          <w:sz w:val="24"/>
        </w:rPr>
        <w:t>Параграф 2. Санитарно-техническая часть</w:t>
      </w:r>
    </w:p>
    <w:bookmarkEnd w:id="3941"/>
    <w:bookmarkStart w:name="637605397" w:id="39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1192.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p>
    <w:bookmarkEnd w:id="3942"/>
    <w:bookmarkStart w:name="637605398" w:id="39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p>
    <w:bookmarkEnd w:id="3943"/>
    <w:bookmarkStart w:name="637605399" w:id="3944"/>
    <w:p>
      <w:pPr>
        <w:spacing w:before="120" w:after="120" w:line="240"/>
        <w:ind w:left="0"/>
        <w:jc w:val="both"/>
      </w:pPr>
      <w:r>
        <w:rPr>
          <w:rFonts w:hint="default" w:ascii="Times New Roman" w:hAnsi="Times New Roman"/>
          <w:b w:val="false"/>
          <w:i w:val="false"/>
          <w:color w:val="000000"/>
          <w:sz w:val="24"/>
        </w:rPr>
        <w:t>Требуемый объем свежего воздуха V, м</w:t>
      </w:r>
      <w:r>
        <w:rPr>
          <w:rFonts w:hint="default" w:ascii="Times New Roman" w:hAnsi="Times New Roman"/>
          <w:b w:val="false"/>
          <w:i w:val="false"/>
          <w:color w:val="000000"/>
          <w:vertAlign w:val="superscript"/>
        </w:rPr>
        <w:t>3</w:t>
      </w:r>
      <w:r>
        <w:rPr>
          <w:rFonts w:hint="default" w:ascii="Times New Roman" w:hAnsi="Times New Roman"/>
          <w:b w:val="false"/>
          <w:i w:val="false"/>
          <w:color w:val="000000"/>
          <w:sz w:val="24"/>
        </w:rPr>
        <w:t xml:space="preserve"> /ч, определяется по формуле:</w:t>
      </w:r>
    </w:p>
    <w:bookmarkEnd w:id="3944"/>
    <w:bookmarkStart w:name="637605400" w:id="3945"/>
    <w:p>
      <w:pPr>
        <w:spacing w:before="120" w:after="120" w:line="240"/>
        <w:ind w:left="0"/>
        <w:jc w:val="center"/>
      </w:pPr>
      <w:r>
        <w:rPr>
          <w:rFonts w:hint="default" w:ascii="Times New Roman" w:hAnsi="Times New Roman"/>
          <w:b w:val="false"/>
          <w:i w:val="false"/>
          <w:color w:val="000000"/>
          <w:sz w:val="24"/>
        </w:rPr>
        <w:t>V = 0,07 I</w:t>
      </w:r>
      <w:r>
        <w:rPr>
          <w:rFonts w:hint="default" w:ascii="Times New Roman" w:hAnsi="Times New Roman"/>
          <w:b w:val="false"/>
          <w:i w:val="false"/>
          <w:color w:val="000000"/>
          <w:vertAlign w:val="subscript"/>
        </w:rPr>
        <w:t>зар</w:t>
      </w:r>
      <w:r>
        <w:rPr>
          <w:rFonts w:hint="default" w:ascii="Times New Roman" w:hAnsi="Times New Roman"/>
          <w:b w:val="false"/>
          <w:i w:val="false"/>
          <w:color w:val="000000"/>
          <w:sz w:val="24"/>
        </w:rPr>
        <w:t xml:space="preserve"> n,</w:t>
      </w:r>
    </w:p>
    <w:bookmarkEnd w:id="3945"/>
    <w:bookmarkStart w:name="637605401" w:id="3946"/>
    <w:p>
      <w:pPr>
        <w:spacing w:before="120" w:after="120" w:line="240"/>
        <w:ind w:left="0"/>
        <w:jc w:val="both"/>
      </w:pPr>
      <w:r>
        <w:rPr>
          <w:b w:val="false"/>
          <w:i w:val="false"/>
          <w:color w:val="000000"/>
          <w:sz w:val="24"/>
        </w:rPr>
        <w:t> </w:t>
      </w:r>
      <w:r>
        <w:br/>
      </w:r>
      <w:r>
        <w:rPr>
          <w:b w:val="false"/>
          <w:i w:val="false"/>
          <w:color w:val="000000"/>
          <w:sz w:val="24"/>
        </w:rPr>
        <w:t>
 где I</w:t>
      </w:r>
      <w:r>
        <w:rPr>
          <w:b w:val="false"/>
          <w:i w:val="false"/>
          <w:color w:val="000000"/>
          <w:vertAlign w:val="subscript"/>
        </w:rPr>
        <w:t>зар</w:t>
      </w:r>
      <w:r>
        <w:rPr>
          <w:b w:val="false"/>
          <w:i w:val="false"/>
          <w:color w:val="000000"/>
          <w:sz w:val="24"/>
        </w:rPr>
        <w:t xml:space="preserve"> – наибольший зарядный ток, А; 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СН 245-71 «Санитарные нормы проектирования промышленных предприятий».</w:t>
      </w:r>
    </w:p>
    <w:bookmarkEnd w:id="3946"/>
    <w:bookmarkStart w:name="637605402" w:id="39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Кроме того,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p>
    <w:bookmarkEnd w:id="3947"/>
    <w:bookmarkStart w:name="637605403" w:id="39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герметичных необслуживаемых аккумуляторных батарей, при установке их в отдельном помещении должна предусматриваться только естественная вентиляция, обеспечивающая однократный обмен воздуха в час.</w:t>
      </w:r>
    </w:p>
    <w:bookmarkEnd w:id="3948"/>
    <w:bookmarkStart w:name="637605404" w:id="39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1193.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дымоходы или в общую систему вентиляции здания не допускается.</w:t>
      </w:r>
    </w:p>
    <w:bookmarkEnd w:id="3949"/>
    <w:bookmarkStart w:name="637605405" w:id="39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1194. При устройстве принудительной вытяжной вентиляции вентилятор должен иметь взрывобезопасное исполнение.</w:t>
      </w:r>
    </w:p>
    <w:bookmarkEnd w:id="3950"/>
    <w:bookmarkStart w:name="637605406" w:id="39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1195. Отсос газов должен производиться как из верхней, так и из нижней части помещения со стороны, противоположной притоку свежего воздуха.</w:t>
      </w:r>
    </w:p>
    <w:bookmarkEnd w:id="3951"/>
    <w:bookmarkStart w:name="637605407" w:id="39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p>
    <w:bookmarkEnd w:id="3952"/>
    <w:bookmarkStart w:name="637605408" w:id="39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от верхней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p>
    <w:bookmarkEnd w:id="3953"/>
    <w:bookmarkStart w:name="637605409" w:id="39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Поток воздуха из вентиляционных каналов не должен быть направлен непосредственно на поверхность электролита аккумуляторов.</w:t>
      </w:r>
    </w:p>
    <w:bookmarkEnd w:id="3954"/>
    <w:bookmarkStart w:name="637605410" w:id="39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Металлические вентиляционные короба не должны располагаться над открытыми аккумуляторами.</w:t>
      </w:r>
    </w:p>
    <w:bookmarkEnd w:id="3955"/>
    <w:bookmarkStart w:name="637605411" w:id="39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инвентарных вентиляционных коробов в помещениях аккумуляторных батарей не допускается.</w:t>
      </w:r>
    </w:p>
    <w:bookmarkEnd w:id="3956"/>
    <w:bookmarkStart w:name="637605412" w:id="3957"/>
    <w:p>
      <w:pPr>
        <w:spacing w:before="120" w:after="120" w:line="240"/>
        <w:ind w:left="0"/>
        <w:jc w:val="both"/>
      </w:pPr>
      <w:r>
        <w:rPr>
          <w:rFonts w:hint="default" w:ascii="Times New Roman" w:hAnsi="Times New Roman"/>
          <w:b w:val="false"/>
          <w:i w:val="false"/>
          <w:color w:val="000000"/>
          <w:sz w:val="24"/>
        </w:rPr>
        <w:t xml:space="preserve">1196. Температура в помещениях аккумуляторных батарей в холодное время на уровне расположения аккумуляторов должна быть не ниже +10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957"/>
    <w:bookmarkStart w:name="637605413" w:id="3958"/>
    <w:p>
      <w:pPr>
        <w:spacing w:before="120" w:after="120" w:line="240"/>
        <w:ind w:left="0"/>
        <w:jc w:val="both"/>
      </w:pPr>
      <w:r>
        <w:rPr>
          <w:rFonts w:hint="default" w:ascii="Times New Roman" w:hAnsi="Times New Roman"/>
          <w:b w:val="false"/>
          <w:i w:val="false"/>
          <w:color w:val="000000"/>
          <w:sz w:val="24"/>
        </w:rPr>
        <w:t xml:space="preserve">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3958"/>
    <w:bookmarkStart w:name="637605414" w:id="39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1197. Отопление помещения аккумуляторной батареи осуществляется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p>
    <w:bookmarkEnd w:id="3959"/>
    <w:bookmarkStart w:name="637605415" w:id="39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не допускается.</w:t>
      </w:r>
    </w:p>
    <w:bookmarkEnd w:id="3960"/>
    <w:bookmarkStart w:name="637605416" w:id="39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1198.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p>
    <w:bookmarkEnd w:id="3961"/>
    <w:bookmarkStart w:name="637605417" w:id="3962"/>
    <w:p>
      <w:pPr>
        <w:spacing w:before="120" w:after="120" w:line="240"/>
        <w:ind w:left="0"/>
        <w:jc w:val="center"/>
      </w:pPr>
      <w:r>
        <w:rPr>
          <w:rFonts w:hint="default" w:ascii="Times New Roman" w:hAnsi="Times New Roman"/>
          <w:b/>
          <w:i w:val="false"/>
          <w:color w:val="000000"/>
          <w:sz w:val="24"/>
        </w:rPr>
        <w:t>Раздел 4. Электросиловые установки</w:t>
      </w:r>
    </w:p>
    <w:bookmarkEnd w:id="3962"/>
    <w:bookmarkStart w:name="637605418" w:id="3963"/>
    <w:p>
      <w:pPr>
        <w:spacing w:before="120" w:after="120" w:line="240"/>
        <w:ind w:left="0"/>
        <w:jc w:val="both"/>
      </w:pPr>
      <w:r>
        <w:rPr>
          <w:rFonts w:hint="default" w:ascii="Times New Roman" w:hAnsi="Times New Roman"/>
          <w:b/>
          <w:i w:val="false"/>
          <w:color w:val="000000"/>
          <w:sz w:val="24"/>
        </w:rPr>
        <w:t>19. Электромашинные помещения</w:t>
      </w:r>
    </w:p>
    <w:bookmarkEnd w:id="3963"/>
    <w:bookmarkStart w:name="637605419" w:id="3964"/>
    <w:p>
      <w:pPr>
        <w:spacing w:before="120" w:after="120" w:line="240"/>
        <w:ind w:left="0"/>
        <w:jc w:val="center"/>
      </w:pPr>
      <w:r>
        <w:rPr>
          <w:rFonts w:hint="default" w:ascii="Times New Roman" w:hAnsi="Times New Roman"/>
          <w:b/>
          <w:i w:val="false"/>
          <w:color w:val="000000"/>
          <w:sz w:val="24"/>
        </w:rPr>
        <w:t>Параграф 1. Общие положения</w:t>
      </w:r>
    </w:p>
    <w:bookmarkEnd w:id="3964"/>
    <w:bookmarkStart w:name="637605420" w:id="39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1199. Электромашинные помещения относятся к помещениям с производством категории Г.</w:t>
      </w:r>
    </w:p>
    <w:bookmarkEnd w:id="3965"/>
    <w:bookmarkStart w:name="637605421" w:id="39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1200.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p>
    <w:bookmarkEnd w:id="3966"/>
    <w:bookmarkStart w:name="637605422" w:id="39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1201. В ЭМП допускается размещать редукторы и шестеренные клети механизмов, связанных с электродвигателями, которые установлены в данном ЭМП.</w:t>
      </w:r>
    </w:p>
    <w:bookmarkEnd w:id="3967"/>
    <w:bookmarkStart w:name="637605423" w:id="39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1202.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p>
    <w:bookmarkEnd w:id="3968"/>
    <w:bookmarkStart w:name="637605424" w:id="39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1203.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открытых переносных светильников должно применяться напряжение не выше 25 В переменного тока или 60 В постоянного тока.</w:t>
      </w:r>
    </w:p>
    <w:bookmarkEnd w:id="3969"/>
    <w:bookmarkStart w:name="637605425" w:id="39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1204. Электромашинные помещения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Электромашинные помещения должны быть также оборудованы промышленным передвижным пылесосом для сбора пыли.</w:t>
      </w:r>
    </w:p>
    <w:bookmarkEnd w:id="3970"/>
    <w:bookmarkStart w:name="637605426" w:id="39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1205. Для транспортировки и монтажа, разборки и сборки электрических машин, преобразователей и других работ, предусматриваются инвентарные (стационарные или передвижные) подъемные и транспортные устройства.</w:t>
      </w:r>
    </w:p>
    <w:bookmarkEnd w:id="3971"/>
    <w:bookmarkStart w:name="637605427" w:id="3972"/>
    <w:p>
      <w:pPr>
        <w:spacing w:before="120" w:after="120" w:line="240"/>
        <w:ind w:left="0"/>
        <w:jc w:val="center"/>
      </w:pPr>
      <w:r>
        <w:rPr>
          <w:rFonts w:hint="default" w:ascii="Times New Roman" w:hAnsi="Times New Roman"/>
          <w:b/>
          <w:i w:val="false"/>
          <w:color w:val="000000"/>
          <w:sz w:val="24"/>
        </w:rPr>
        <w:t>Параграф 2. Размещение и установка электрооборудования</w:t>
      </w:r>
    </w:p>
    <w:bookmarkEnd w:id="3972"/>
    <w:bookmarkStart w:name="637605428" w:id="39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1206.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для электрокар или транспортных тележек.</w:t>
      </w:r>
    </w:p>
    <w:bookmarkEnd w:id="3973"/>
    <w:bookmarkStart w:name="637605429" w:id="39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Расстояние в свету между транспортируемыми элементами оборудования и элементами здания или оборудования должно быть не менее 0,3 метра по вертикали и 0,5 метра по горизонтали.</w:t>
      </w:r>
    </w:p>
    <w:bookmarkEnd w:id="3974"/>
    <w:bookmarkStart w:name="637605430" w:id="39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1207. Ширина проходов между фундаментами или корпусами машин, между машинами и частями здания или оборудования должна быть не менее 1 метра в свету, допускаются местные сужения проходов между выступающими частями машин и строительными конструкциями до 0,6 метра на длине не более 0,5 метра.</w:t>
      </w:r>
    </w:p>
    <w:bookmarkEnd w:id="3975"/>
    <w:bookmarkStart w:name="637605431" w:id="39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1208.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метра при высоте машин до 1 метра от уровня пола и не менее 0,6 метра при высоте машин более 1 метра.</w:t>
      </w:r>
    </w:p>
    <w:bookmarkEnd w:id="3976"/>
    <w:bookmarkStart w:name="637605432" w:id="39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закрытой двери или стенки шкафа.</w:t>
      </w:r>
    </w:p>
    <w:bookmarkEnd w:id="3977"/>
    <w:bookmarkStart w:name="637605433" w:id="39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Указанные требования не относятся к постам местного управления приводами.</w:t>
      </w:r>
    </w:p>
    <w:bookmarkEnd w:id="3978"/>
    <w:bookmarkStart w:name="637605434" w:id="39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прохода между корпусом машины и торцом пульта управления или щита управления должна быть не менее 1 м.</w:t>
      </w:r>
    </w:p>
    <w:bookmarkEnd w:id="3979"/>
    <w:bookmarkStart w:name="637605435" w:id="39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1209.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1,2 м, а между открытыми противоположными дверцами – не менее 0,6 м.</w:t>
      </w:r>
    </w:p>
    <w:bookmarkEnd w:id="3980"/>
    <w:bookmarkStart w:name="637605436" w:id="39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пункта 885 настоящих Правил.</w:t>
      </w:r>
    </w:p>
    <w:bookmarkEnd w:id="3981"/>
    <w:bookmarkStart w:name="637605437" w:id="39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Размеры проходов обслуживания для РУ, щитов и другого оборудования должны удовлетворять требованиям, приведенным в подпунктах 885, 886 и 963 настоящих Правил.</w:t>
      </w:r>
    </w:p>
    <w:bookmarkEnd w:id="3982"/>
    <w:bookmarkStart w:name="637605438" w:id="39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подвальном этаже ЭМП предусматривается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p>
    <w:bookmarkEnd w:id="3983"/>
    <w:bookmarkStart w:name="637605439" w:id="39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Ширина проходов в кабельных сооружениях должна приниматься в соответствии с пунктами 472 и 474 настоящих Правил. Ряды кабельных конструкций с кабелями в этих сооружениях не должны образовывать тупиков длиной более 7 метра. Во избежание образования тупиков допускается устройство прохода под кабелями высотой в свету не менее 1,5 метра от пола. Над таким проходом допускается уменьшенное расстояние между полками, обеспечивающее возможность демонтажа кабелей, но не менее 100 мм.</w:t>
      </w:r>
    </w:p>
    <w:bookmarkEnd w:id="3984"/>
    <w:bookmarkStart w:name="637605440" w:id="39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1210. Непосредственно в ЭМП допускается открыто устанавливать:</w:t>
      </w:r>
    </w:p>
    <w:bookmarkEnd w:id="3985"/>
    <w:bookmarkStart w:name="637605441" w:id="39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маслонаполненные пусковые и пускорегулирующие устройства для электрических машин до и выше 1 кВ (автотрансформаторы, реакторы, реостаты) при массе масла до 600 килограмм;</w:t>
      </w:r>
    </w:p>
    <w:bookmarkEnd w:id="3986"/>
    <w:bookmarkStart w:name="637605442" w:id="39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трансформаторы мощностью до 1,6 MB А, автотрансформаторы, измерительные трансформаторы и другие аппараты с массой масла до 2 тонн, которые имеют повышенную 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p>
    <w:bookmarkEnd w:id="3987"/>
    <w:bookmarkStart w:name="637605443" w:id="39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10 м в свету;</w:t>
      </w:r>
    </w:p>
    <w:bookmarkEnd w:id="3988"/>
    <w:bookmarkStart w:name="637605444" w:id="39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трансформаторы сухие или наполненные негорючими жидкостями без ограничения мощности и количества;</w:t>
      </w:r>
    </w:p>
    <w:bookmarkEnd w:id="3989"/>
    <w:bookmarkStart w:name="637605445" w:id="39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металлические КРУ, подстанции до 1 кВ и выше, батареи конденсаторов или отдельные конденсаторы;</w:t>
      </w:r>
    </w:p>
    <w:bookmarkEnd w:id="3990"/>
    <w:bookmarkStart w:name="637605446" w:id="39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аккумуляторные батареи закрытого типа при условии устройства вытяжного приспособления или зарядки в специальных помещениях или шкафах;</w:t>
      </w:r>
    </w:p>
    <w:bookmarkEnd w:id="3991"/>
    <w:bookmarkStart w:name="637605447" w:id="39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полупроводниковые преобразователи;</w:t>
      </w:r>
    </w:p>
    <w:bookmarkEnd w:id="3992"/>
    <w:bookmarkStart w:name="637605448" w:id="39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p>
    <w:bookmarkEnd w:id="3993"/>
    <w:bookmarkStart w:name="637605449" w:id="39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неизолированные токопроводы до 1 кВ и выше;</w:t>
      </w:r>
    </w:p>
    <w:bookmarkEnd w:id="3994"/>
    <w:bookmarkStart w:name="637605450" w:id="39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оборудование охлаждения электрических машин.</w:t>
      </w:r>
    </w:p>
    <w:bookmarkEnd w:id="3995"/>
    <w:bookmarkStart w:name="637605451" w:id="39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1211.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тонн, а расстояние в свету между двумя камерами или группами камер – не менее 50 м.</w:t>
      </w:r>
    </w:p>
    <w:bookmarkEnd w:id="3996"/>
    <w:bookmarkStart w:name="637605452" w:id="39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или Д.</w:t>
      </w:r>
    </w:p>
    <w:bookmarkEnd w:id="3997"/>
    <w:bookmarkStart w:name="637605453" w:id="39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1212.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должна быть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p>
    <w:bookmarkEnd w:id="3998"/>
    <w:bookmarkStart w:name="637605454" w:id="39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1213.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p>
    <w:bookmarkEnd w:id="3999"/>
    <w:bookmarkStart w:name="637605455" w:id="40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1214. В случаях, когда верхняя отметка фундаментной плиты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должны ограждаться перилами, а на высоте более 2 м – перилами и бортовыми барьерами. Для входа на площадки должны предусматриваться ступеньки.</w:t>
      </w:r>
    </w:p>
    <w:bookmarkEnd w:id="4000"/>
    <w:bookmarkStart w:name="637605456" w:id="40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1215.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предусматривает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p>
    <w:bookmarkEnd w:id="4001"/>
    <w:bookmarkStart w:name="637605457" w:id="40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доставка оборудования производится автотранспортом, предусматривается возможность заезда автотранспорта в ЭМП, в зону действия грузоподъемных устройств.</w:t>
      </w:r>
    </w:p>
    <w:bookmarkEnd w:id="4002"/>
    <w:bookmarkStart w:name="637605458" w:id="40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1216.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w:t>
      </w:r>
    </w:p>
    <w:bookmarkEnd w:id="4003"/>
    <w:bookmarkStart w:name="637605459" w:id="40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1217.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p>
    <w:bookmarkEnd w:id="4004"/>
    <w:bookmarkStart w:name="637605460" w:id="40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Участки ЭМП, по которым транспортируется оборудование, должны быть рассчитаны на нагрузку транспортируемого оборудования. Контуры этих участков обозначаются краской или плиткой.</w:t>
      </w:r>
    </w:p>
    <w:bookmarkEnd w:id="4005"/>
    <w:bookmarkStart w:name="637605461" w:id="40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Размеры монтажных площадок определяются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p>
    <w:bookmarkEnd w:id="4006"/>
    <w:bookmarkStart w:name="637605462" w:id="40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1218. Электрические светильники в ЭМП не располагаются над открытыми шинами РУ и открытыми токопроводами. Электрические светильники, обслуживаемые с пола, не располагаются над вращающимися машинами.</w:t>
      </w:r>
    </w:p>
    <w:bookmarkEnd w:id="4007"/>
    <w:bookmarkStart w:name="637605463" w:id="4008"/>
    <w:p>
      <w:pPr>
        <w:spacing w:before="120" w:after="120" w:line="240"/>
        <w:ind w:left="0"/>
        <w:jc w:val="center"/>
      </w:pPr>
      <w:r>
        <w:rPr>
          <w:rFonts w:hint="default" w:ascii="Times New Roman" w:hAnsi="Times New Roman"/>
          <w:b/>
          <w:i w:val="false"/>
          <w:color w:val="000000"/>
          <w:sz w:val="24"/>
        </w:rPr>
        <w:t>Параграф 3. Смазка подшипников электрических машин</w:t>
      </w:r>
    </w:p>
    <w:bookmarkEnd w:id="4008"/>
    <w:bookmarkStart w:name="637605464" w:id="40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1219. Системы циркуляционной смазки электрических машин и технологических механизмов объединяются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p>
    <w:bookmarkEnd w:id="4009"/>
    <w:bookmarkStart w:name="637605465" w:id="40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1220. Оборудование централизованных систем смазки, в том числе предназначенной только для электрических машин, устанавливается вне ЭМП.</w:t>
      </w:r>
    </w:p>
    <w:bookmarkEnd w:id="4010"/>
    <w:bookmarkStart w:name="637605466" w:id="40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1221.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p>
    <w:bookmarkEnd w:id="4011"/>
    <w:bookmarkStart w:name="637605467" w:id="40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1222. Трубопроводы масла и воды прокладываются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p>
    <w:bookmarkEnd w:id="4012"/>
    <w:bookmarkStart w:name="637605468" w:id="40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1223. Соединение труб с арматурой допускается фланцами.</w:t>
      </w:r>
    </w:p>
    <w:bookmarkEnd w:id="4013"/>
    <w:bookmarkStart w:name="637605469" w:id="40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Диафрагмы и вентили должны устанавливаться непосредственно у мест подвода смазки к подшипникам электрических машин.</w:t>
      </w:r>
    </w:p>
    <w:bookmarkEnd w:id="4014"/>
    <w:bookmarkStart w:name="637605470" w:id="40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p>
    <w:bookmarkEnd w:id="4015"/>
    <w:bookmarkStart w:name="637605471" w:id="40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1224.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не допускается.</w:t>
      </w:r>
    </w:p>
    <w:bookmarkEnd w:id="4016"/>
    <w:bookmarkStart w:name="637605472" w:id="4017"/>
    <w:p>
      <w:pPr>
        <w:spacing w:before="120" w:after="120" w:line="240"/>
        <w:ind w:left="0"/>
        <w:jc w:val="both"/>
      </w:pPr>
      <w:r>
        <w:rPr>
          <w:rFonts w:hint="default" w:ascii="Times New Roman" w:hAnsi="Times New Roman"/>
          <w:b/>
          <w:i w:val="false"/>
          <w:color w:val="000000"/>
          <w:sz w:val="24"/>
        </w:rPr>
        <w:t>20. Генераторы и синхронные компенсаторы</w:t>
      </w:r>
    </w:p>
    <w:bookmarkEnd w:id="4017"/>
    <w:bookmarkStart w:name="637605473" w:id="4018"/>
    <w:p>
      <w:pPr>
        <w:spacing w:before="120" w:after="120" w:line="240"/>
        <w:ind w:left="0"/>
        <w:jc w:val="center"/>
      </w:pPr>
      <w:r>
        <w:rPr>
          <w:rFonts w:hint="default" w:ascii="Times New Roman" w:hAnsi="Times New Roman"/>
          <w:b/>
          <w:i w:val="false"/>
          <w:color w:val="000000"/>
          <w:sz w:val="24"/>
        </w:rPr>
        <w:t>Параграф 1. Общие положения</w:t>
      </w:r>
    </w:p>
    <w:bookmarkEnd w:id="4018"/>
    <w:bookmarkStart w:name="637605474" w:id="40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1225. Генераторы, синхронные компенсаторы и их вспомогательное оборудование, устанавливаемые на открытом воздухе, должны иметь специальное исполнение.</w:t>
      </w:r>
    </w:p>
    <w:bookmarkEnd w:id="4019"/>
    <w:bookmarkStart w:name="637605475" w:id="40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1226. Конструкция генераторов и синхронных компенсаторов должна обеспечивать их нормальную эксплуатацию в течение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p>
    <w:bookmarkEnd w:id="4020"/>
    <w:bookmarkStart w:name="637605476" w:id="40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p>
    <w:bookmarkEnd w:id="4021"/>
    <w:bookmarkStart w:name="637605477" w:id="40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1227. Генераторы и синхронные компенсаторы должны быть оборудованы контрольно-измерительными приборами в соответствии с главой 6 настоящих Правил, устройствами управления, сигнализации, защиты в соответствии с пунктами 630, 646 и 668, 686 настоящих Правил, устройствами АГП, защиты ротора от перенапряжений, АРВ в соответствии с пунктами 778 и 819 настоящих Правил, а также устройствами автоматики для обеспечения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гидрогенераторы мощностью 300 МВт и более должны быть оборудованы также осциллографами с записью предаварийного процесса.</w:t>
      </w:r>
    </w:p>
    <w:bookmarkEnd w:id="4022"/>
    <w:bookmarkStart w:name="637605478" w:id="40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1228. Панели управления, релейной защиты, автоматики, возбуждения и непосредственного водяного охлаждения гидрогенератора размещаются в непосредственной близости от него.</w:t>
      </w:r>
    </w:p>
    <w:bookmarkEnd w:id="4023"/>
    <w:bookmarkStart w:name="637605479" w:id="40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1229. Электрические и механические параметры мощных турбо- и гидрогенераторов должны, приниматься оптимальными с точки зрения нагрузочной способности. При необходимости обеспечения устойчивости работы параметры генераторов принимаются отличными от оптимальных с точки зрения нагрузочной способности при обосновании технико-экономическими расчетами.</w:t>
      </w:r>
    </w:p>
    <w:bookmarkEnd w:id="4024"/>
    <w:bookmarkStart w:name="637605480" w:id="40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1230. Напряжение генераторов должно приниматься на основе технико-экономических расчетов по согласованию с заводом-изготовителем.</w:t>
      </w:r>
    </w:p>
    <w:bookmarkEnd w:id="4025"/>
    <w:bookmarkStart w:name="637605481" w:id="40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1231.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p>
    <w:bookmarkEnd w:id="4026"/>
    <w:bookmarkStart w:name="637605482" w:id="40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1232.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p>
    <w:bookmarkEnd w:id="4027"/>
    <w:bookmarkStart w:name="637605483" w:id="40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1233.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p>
    <w:bookmarkEnd w:id="4028"/>
    <w:bookmarkStart w:name="637605484" w:id="4029"/>
    <w:p>
      <w:pPr>
        <w:spacing w:before="120" w:after="120" w:line="240"/>
        <w:ind w:left="0"/>
        <w:jc w:val="both"/>
      </w:pPr>
      <w:r>
        <w:rPr>
          <w:rFonts w:hint="default" w:ascii="Times New Roman" w:hAnsi="Times New Roman"/>
          <w:b w:val="false"/>
          <w:i w:val="false"/>
          <w:color w:val="000000"/>
          <w:sz w:val="24"/>
        </w:rPr>
        <w:t xml:space="preserve">1234.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оборудованными специальными стеллажами.</w:t>
      </w:r>
    </w:p>
    <w:bookmarkEnd w:id="4029"/>
    <w:bookmarkStart w:name="637605485" w:id="4030"/>
    <w:p>
      <w:pPr>
        <w:spacing w:before="120" w:after="120" w:line="240"/>
        <w:ind w:left="0"/>
        <w:jc w:val="center"/>
      </w:pPr>
      <w:r>
        <w:rPr>
          <w:rFonts w:hint="default" w:ascii="Times New Roman" w:hAnsi="Times New Roman"/>
          <w:b/>
          <w:i w:val="false"/>
          <w:color w:val="000000"/>
          <w:sz w:val="24"/>
        </w:rPr>
        <w:t>Параграф 2. Охлаждение и смазка</w:t>
      </w:r>
    </w:p>
    <w:bookmarkEnd w:id="4030"/>
    <w:bookmarkStart w:name="637605486" w:id="40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1235. При питании морской или агрессивно воздействующей пресной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p>
    <w:bookmarkEnd w:id="4031"/>
    <w:bookmarkStart w:name="637605487" w:id="40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1236.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p>
    <w:bookmarkEnd w:id="4032"/>
    <w:bookmarkStart w:name="637605488" w:id="40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1237. Для генераторов и синхронных компенсаторов с замкнутой системой воздушного охлаждения должны быть выполнены следующие мероприятия:</w:t>
      </w:r>
    </w:p>
    <w:bookmarkEnd w:id="4033"/>
    <w:bookmarkStart w:name="637605489" w:id="40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камеры холодного и горячего воздуха должны иметь плотно закрывающиеся остекленные смотровые лючки;</w:t>
      </w:r>
    </w:p>
    <w:bookmarkEnd w:id="4034"/>
    <w:bookmarkStart w:name="637605490" w:id="40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p>
    <w:bookmarkEnd w:id="4035"/>
    <w:bookmarkStart w:name="637605491" w:id="40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внутри камер холодного и горячего воздуха должно быть оборудовано освещение с выключателями, вынесенными наружу;</w:t>
      </w:r>
    </w:p>
    <w:bookmarkEnd w:id="4036"/>
    <w:bookmarkStart w:name="637605492" w:id="40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p>
    <w:bookmarkEnd w:id="4037"/>
    <w:bookmarkStart w:name="637605493" w:id="40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устанавливаются устройства сигнализации, реагирующего на появление воды в сливной трубе;</w:t>
      </w:r>
    </w:p>
    <w:bookmarkEnd w:id="4038"/>
    <w:bookmarkStart w:name="637605494" w:id="40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p>
    <w:bookmarkEnd w:id="4039"/>
    <w:bookmarkStart w:name="637605495" w:id="40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w:t>
      </w:r>
    </w:p>
    <w:bookmarkEnd w:id="4040"/>
    <w:bookmarkStart w:name="637605496" w:id="40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1238. Турбогенераторы и синхронные компенсаторы с водородным охлаждением должны быть оборудованы:</w:t>
      </w:r>
    </w:p>
    <w:bookmarkEnd w:id="4041"/>
    <w:bookmarkStart w:name="637605497" w:id="40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в генераторе и синхронном компенсаторе.</w:t>
      </w:r>
    </w:p>
    <w:bookmarkEnd w:id="4042"/>
    <w:bookmarkStart w:name="637605498" w:id="40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подачи водорода от газовых резервуаров в машинный зал предусматривается одна магистраль. Схема газопроводов выполняется кольцевой секционированной. Для синхронных компенсаторов выполняется одна магистраль.</w:t>
      </w:r>
    </w:p>
    <w:bookmarkEnd w:id="4043"/>
    <w:bookmarkStart w:name="637605499" w:id="40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p>
    <w:bookmarkEnd w:id="4044"/>
    <w:bookmarkStart w:name="637605500" w:id="40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p>
    <w:bookmarkEnd w:id="4045"/>
    <w:bookmarkStart w:name="637605501" w:id="40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откпючении рабочего источника маслоснабжения, а также при снижении давления масла;</w:t>
      </w:r>
    </w:p>
    <w:bookmarkEnd w:id="4046"/>
    <w:bookmarkStart w:name="637605502" w:id="40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p>
    <w:bookmarkEnd w:id="4047"/>
    <w:bookmarkStart w:name="637605503" w:id="40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устройствами для осушки водорода, включенными в контур циркуляции водорода в генераторе или синхронном компенсаторе;</w:t>
      </w:r>
    </w:p>
    <w:bookmarkEnd w:id="4048"/>
    <w:bookmarkStart w:name="637605504" w:id="40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p>
    <w:bookmarkEnd w:id="4049"/>
    <w:bookmarkStart w:name="637605505" w:id="40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p>
    <w:bookmarkEnd w:id="4050"/>
    <w:bookmarkStart w:name="637605506" w:id="40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вентиляционными установками в местах скопления газа главного масляного бака, масляных камер на сливе, основных подшипников турбогенератора.</w:t>
      </w:r>
    </w:p>
    <w:bookmarkEnd w:id="4051"/>
    <w:bookmarkStart w:name="637605507" w:id="40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в которых возможно скопление водорода, из наиболее высоких точек этих объемов должен быть обеспечен свободный выход водорода вверх;</w:t>
      </w:r>
    </w:p>
    <w:bookmarkEnd w:id="4052"/>
    <w:bookmarkStart w:name="637605508" w:id="40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дренажными устройствами для слива воды и масла из корпуса. Система дренажа должна исключать возможность перетока горячего газа в отсеки холодного газа;</w:t>
      </w:r>
    </w:p>
    <w:bookmarkEnd w:id="4053"/>
    <w:bookmarkStart w:name="637605509" w:id="40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указателем появления жидкости в корпусе турбогенератора (синхронного компенсатора);</w:t>
      </w:r>
    </w:p>
    <w:bookmarkEnd w:id="4054"/>
    <w:bookmarkStart w:name="637605510" w:id="40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источником сжатого воздуха с избыточным давлением не менее 0,2 МПа с фильтром и осушителем воздуха.</w:t>
      </w:r>
    </w:p>
    <w:bookmarkEnd w:id="4055"/>
    <w:bookmarkStart w:name="637605511" w:id="40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1239. Генераторы и синхронные компенсаторы с водяным охлаждением обмоток должны быть оборудованы:</w:t>
      </w:r>
    </w:p>
    <w:bookmarkEnd w:id="4056"/>
    <w:bookmarkStart w:name="637605512" w:id="40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трубопроводами подачи и слива дистиллята, выполненными из материалов, стойких к воздействию коррозии;</w:t>
      </w:r>
    </w:p>
    <w:bookmarkEnd w:id="4057"/>
    <w:bookmarkStart w:name="637605513" w:id="40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основным и резервным насосами дистиллята;</w:t>
      </w:r>
    </w:p>
    <w:bookmarkEnd w:id="4058"/>
    <w:bookmarkStart w:name="637605514" w:id="40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p>
    <w:bookmarkEnd w:id="4059"/>
    <w:bookmarkStart w:name="637605515" w:id="40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расширительным баком с защитой дистиллята от внешней среды;</w:t>
      </w:r>
    </w:p>
    <w:bookmarkEnd w:id="4060"/>
    <w:bookmarkStart w:name="637605516" w:id="40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основным и резервным теплообменниками для охлаждения дистиллята.</w:t>
      </w:r>
    </w:p>
    <w:bookmarkEnd w:id="4061"/>
    <w:bookmarkStart w:name="637605517" w:id="40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 техническая вода от циркуляционных насосов газоохладителей генераторов;</w:t>
      </w:r>
    </w:p>
    <w:bookmarkEnd w:id="4062"/>
    <w:bookmarkStart w:name="637605518" w:id="40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предупредительной сигнализацией и защитой, действующей при отклонениях от нормального режима работы системы водяного охлаждения;</w:t>
      </w:r>
    </w:p>
    <w:bookmarkEnd w:id="4063"/>
    <w:bookmarkStart w:name="637605519" w:id="40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контрольно-измерительными приборами и реле автоматики для контроля и управления системой водяного охлаждения;</w:t>
      </w:r>
    </w:p>
    <w:bookmarkEnd w:id="4064"/>
    <w:bookmarkStart w:name="637605520" w:id="40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устройствами обнаружения утечки водорода в тракт водяного охлаждения обмоток статора;</w:t>
      </w:r>
    </w:p>
    <w:bookmarkEnd w:id="4065"/>
    <w:bookmarkStart w:name="637605521" w:id="40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p>
    <w:bookmarkEnd w:id="4066"/>
    <w:bookmarkStart w:name="637605522" w:id="40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1240. В каждой системе трубопроводов, подводящих воду к газоохладителям, теплообменникам и маслоохладителям, установиются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p>
    <w:bookmarkEnd w:id="4067"/>
    <w:bookmarkStart w:name="637605523" w:id="40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1241.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p>
    <w:bookmarkEnd w:id="4068"/>
    <w:bookmarkStart w:name="637605524" w:id="40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выводится на уровень пола машинного зала.</w:t>
      </w:r>
    </w:p>
    <w:bookmarkEnd w:id="4069"/>
    <w:bookmarkStart w:name="637605525" w:id="40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1242. Каждая секция газоохладителей и теплообменников в самой высокой точке должна иметь краны для выпуска воздуха.</w:t>
      </w:r>
    </w:p>
    <w:bookmarkEnd w:id="4070"/>
    <w:bookmarkStart w:name="637605526" w:id="40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1243.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p>
    <w:bookmarkEnd w:id="4071"/>
    <w:bookmarkStart w:name="637605527" w:id="40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1244.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w:t>
      </w:r>
    </w:p>
    <w:bookmarkEnd w:id="4072"/>
    <w:bookmarkStart w:name="637605528" w:id="40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1245. На питающих трубопроводах технического водоснабжения генераторов должны устанавливаться расходомеры.</w:t>
      </w:r>
    </w:p>
    <w:bookmarkEnd w:id="4073"/>
    <w:bookmarkStart w:name="637605529" w:id="40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1246.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p>
    <w:bookmarkEnd w:id="4074"/>
    <w:bookmarkStart w:name="637605530" w:id="40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1247.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p>
    <w:bookmarkEnd w:id="4075"/>
    <w:bookmarkStart w:name="637605531" w:id="40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1248. На напорных и сливных трубопроводах газоохладителей, теплообменников и маслоохладителей должны быть встроены гильзы для ртутных термометров.</w:t>
      </w:r>
    </w:p>
    <w:bookmarkEnd w:id="4076"/>
    <w:bookmarkStart w:name="637605532" w:id="40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1249.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p>
    <w:bookmarkEnd w:id="4077"/>
    <w:bookmarkStart w:name="637605533" w:id="40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1250.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p>
    <w:bookmarkEnd w:id="4078"/>
    <w:bookmarkStart w:name="637605534" w:id="40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1251.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p>
    <w:bookmarkEnd w:id="4079"/>
    <w:bookmarkStart w:name="637605535" w:id="40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1252. 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p>
    <w:bookmarkEnd w:id="4080"/>
    <w:bookmarkStart w:name="637605536" w:id="40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1253.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p>
    <w:bookmarkEnd w:id="4081"/>
    <w:bookmarkStart w:name="637605537" w:id="40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p>
    <w:bookmarkEnd w:id="4082"/>
    <w:bookmarkStart w:name="637605538" w:id="40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 гидрогенераторов подпятники и подшипники, расположенные над ротором, должны быть электрически изолированы от корпуса.</w:t>
      </w:r>
    </w:p>
    <w:bookmarkEnd w:id="4083"/>
    <w:bookmarkStart w:name="637605539" w:id="40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1254. На каждом маслопроводе электрически изолированных подшипников турбогенераторов, синхронных компенсаторов и горизонтальных гидрогенераторов устанавливаются последовательно два электрически изолированных фланцевых соединения.</w:t>
      </w:r>
    </w:p>
    <w:bookmarkEnd w:id="4084"/>
    <w:bookmarkStart w:name="637605540" w:id="40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1255.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p>
    <w:bookmarkEnd w:id="4085"/>
    <w:bookmarkStart w:name="637605541" w:id="40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p>
    <w:bookmarkEnd w:id="4086"/>
    <w:bookmarkStart w:name="637605542" w:id="40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1256.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p>
    <w:bookmarkEnd w:id="4087"/>
    <w:bookmarkStart w:name="637605543" w:id="40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1257. Смешанные системы охлаждения генераторов и синхронных компенсаторов должны соответствовать требованиям настоящих Правил.</w:t>
      </w:r>
    </w:p>
    <w:bookmarkEnd w:id="4088"/>
    <w:bookmarkStart w:name="637605544" w:id="4089"/>
    <w:p>
      <w:pPr>
        <w:spacing w:before="120" w:after="120" w:line="240"/>
        <w:ind w:left="0"/>
        <w:jc w:val="center"/>
      </w:pPr>
      <w:r>
        <w:rPr>
          <w:rFonts w:hint="default" w:ascii="Times New Roman" w:hAnsi="Times New Roman"/>
          <w:b/>
          <w:i w:val="false"/>
          <w:color w:val="000000"/>
          <w:sz w:val="24"/>
        </w:rPr>
        <w:t>Параграф 3. Системы возбуждения</w:t>
      </w:r>
    </w:p>
    <w:bookmarkEnd w:id="4089"/>
    <w:bookmarkStart w:name="637605545" w:id="40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1258. Требования, приведенные в пункте 1275 настоящих Правил, распространяются на стационарные установки систем возбуждения турбо- и гидрогенераторов и синхронных компенсаторов.</w:t>
      </w:r>
    </w:p>
    <w:bookmarkEnd w:id="4090"/>
    <w:bookmarkStart w:name="637605546" w:id="40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1259.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техническими условиями.</w:t>
      </w:r>
    </w:p>
    <w:bookmarkEnd w:id="4091"/>
    <w:bookmarkStart w:name="637605547" w:id="40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p>
    <w:bookmarkEnd w:id="4092"/>
    <w:bookmarkStart w:name="637605548" w:id="40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1260. Электрооборудование и аппаратура систем возбуждения должны соответствовать требованиям на синхронные генераторы и компенсаторы и техническим условиям на это оборудование и аппаратуру.</w:t>
      </w:r>
    </w:p>
    <w:bookmarkEnd w:id="4093"/>
    <w:bookmarkStart w:name="637605549" w:id="40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1261. Системы возбуждения, у которых действующее значение эксплуатационного напряжения или длительного перенапряжения</w:t>
      </w:r>
    </w:p>
    <w:bookmarkEnd w:id="4094"/>
    <w:bookmarkStart w:name="637605550" w:id="40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1262.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w:t>
      </w:r>
    </w:p>
    <w:bookmarkEnd w:id="4095"/>
    <w:bookmarkStart w:name="637605551" w:id="40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1263.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p>
    <w:bookmarkEnd w:id="4096"/>
    <w:bookmarkStart w:name="637605552" w:id="40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1264.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w:t>
      </w:r>
    </w:p>
    <w:bookmarkEnd w:id="4097"/>
    <w:bookmarkStart w:name="637605553" w:id="40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Пульт (панель), с которого может производиться управление возбуждением, должен быть оборудован приборами контроля возбуждения.</w:t>
      </w:r>
    </w:p>
    <w:bookmarkEnd w:id="4098"/>
    <w:bookmarkStart w:name="637605554" w:id="40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1265.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p>
    <w:bookmarkEnd w:id="4099"/>
    <w:bookmarkStart w:name="637605555" w:id="4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1266.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p>
    <w:bookmarkEnd w:id="4100"/>
    <w:bookmarkStart w:name="637605556" w:id="4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1267.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p>
    <w:bookmarkEnd w:id="4101"/>
    <w:bookmarkStart w:name="637605557" w:id="4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p>
    <w:bookmarkEnd w:id="4102"/>
    <w:bookmarkStart w:name="637605558" w:id="41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Цепи напряжения обмотки возбуждения генератора или синхронного компенсатора для измерения и подключения устройства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p>
    <w:bookmarkEnd w:id="4103"/>
    <w:bookmarkStart w:name="637605559" w:id="4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1268.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p>
    <w:bookmarkEnd w:id="4104"/>
    <w:bookmarkStart w:name="637605560" w:id="41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1269. Разрядники, указанные в пункте 1267 настоящих Правил, должны иметь сигнализацию срабатывания.</w:t>
      </w:r>
    </w:p>
    <w:bookmarkEnd w:id="4105"/>
    <w:bookmarkStart w:name="637605561" w:id="4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1270. Система возбуждения генераторов и синхронных компенсаторов должна выполняться таким образом, чтобы:</w:t>
      </w:r>
    </w:p>
    <w:bookmarkEnd w:id="4106"/>
    <w:bookmarkStart w:name="637605562" w:id="4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p>
    <w:bookmarkEnd w:id="4107"/>
    <w:bookmarkStart w:name="637605563" w:id="4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p>
    <w:bookmarkEnd w:id="4108"/>
    <w:bookmarkStart w:name="637605564" w:id="41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p>
    <w:bookmarkEnd w:id="4109"/>
    <w:bookmarkStart w:name="637605565" w:id="4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исключалась возможность повреждения системы возбуждения при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p>
    <w:bookmarkEnd w:id="4110"/>
    <w:bookmarkStart w:name="637605566" w:id="4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1271.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w:t>
      </w:r>
    </w:p>
    <w:bookmarkEnd w:id="4111"/>
    <w:bookmarkStart w:name="637605567" w:id="41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p>
    <w:bookmarkEnd w:id="4112"/>
    <w:bookmarkStart w:name="637605568" w:id="4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1272.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p>
    <w:bookmarkEnd w:id="4113"/>
    <w:bookmarkStart w:name="637605569" w:id="4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1273.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w:t>
      </w:r>
    </w:p>
    <w:bookmarkEnd w:id="4114"/>
    <w:bookmarkStart w:name="637605570" w:id="4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Закрытие и открытие задвижек системы охлаждения на одном из возбудителей не должны приводить к изменению режима охлаждения на другом возбудителе.</w:t>
      </w:r>
    </w:p>
    <w:bookmarkEnd w:id="4115"/>
    <w:bookmarkStart w:name="637605571" w:id="4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1274.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p>
    <w:bookmarkEnd w:id="4116"/>
    <w:bookmarkStart w:name="637605572" w:id="4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1275. Электромашинные возбудители постоянного тока (основные при работе без АРВ и резервные) должны иметь релейную форсировку возбуждения.</w:t>
      </w:r>
    </w:p>
    <w:bookmarkEnd w:id="4117"/>
    <w:bookmarkStart w:name="637605573" w:id="4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1276.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p>
    <w:bookmarkEnd w:id="4118"/>
    <w:bookmarkStart w:name="637605574" w:id="4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гидроэлектростанциях резервные возбудители не устанавливаются.</w:t>
      </w:r>
    </w:p>
    <w:bookmarkEnd w:id="4119"/>
    <w:bookmarkStart w:name="637605575" w:id="4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1277.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p>
    <w:bookmarkEnd w:id="4120"/>
    <w:bookmarkStart w:name="637605576" w:id="4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1278.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p>
    <w:bookmarkEnd w:id="4121"/>
    <w:bookmarkStart w:name="637605577" w:id="4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1279.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p>
    <w:bookmarkEnd w:id="4122"/>
    <w:bookmarkStart w:name="637605578" w:id="4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1280.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bookmarkEnd w:id="4123"/>
    <w:bookmarkStart w:name="637605579" w:id="4124"/>
    <w:p>
      <w:pPr>
        <w:spacing w:before="120" w:after="120" w:line="240"/>
        <w:ind w:left="0"/>
        <w:jc w:val="center"/>
      </w:pPr>
      <w:r>
        <w:rPr>
          <w:rFonts w:hint="default" w:ascii="Times New Roman" w:hAnsi="Times New Roman"/>
          <w:b/>
          <w:i w:val="false"/>
          <w:color w:val="000000"/>
          <w:sz w:val="24"/>
        </w:rPr>
        <w:t>Параграф 4. Размещение и установка генераторови синхронных компенсаторов</w:t>
      </w:r>
    </w:p>
    <w:bookmarkEnd w:id="4124"/>
    <w:bookmarkStart w:name="637605580" w:id="41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1281.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пунктах 1205–1207 настоящих Правил.</w:t>
      </w:r>
    </w:p>
    <w:bookmarkEnd w:id="4125"/>
    <w:bookmarkStart w:name="637605581" w:id="41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Размеры машинного зала должны выбираться с учетом:</w:t>
      </w:r>
    </w:p>
    <w:bookmarkEnd w:id="4126"/>
    <w:bookmarkStart w:name="637605582" w:id="4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возможности монтажа и демонтажа агрегатов без останова работающих агрегатов;</w:t>
      </w:r>
    </w:p>
    <w:bookmarkEnd w:id="4127"/>
    <w:bookmarkStart w:name="637605583" w:id="41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применения кранов со специальными, преимущественно жесткими захватными приспособлениями, позволяющими полностью использовать ход крана;</w:t>
      </w:r>
    </w:p>
    <w:bookmarkEnd w:id="4128"/>
    <w:bookmarkStart w:name="637605584" w:id="4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p>
    <w:bookmarkEnd w:id="4129"/>
    <w:bookmarkStart w:name="637605585" w:id="4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возможности размещения узлов и деталей во время монтажа и ремонта агрегата.</w:t>
      </w:r>
    </w:p>
    <w:bookmarkEnd w:id="4130"/>
    <w:bookmarkStart w:name="637605586" w:id="4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1282.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p>
    <w:bookmarkEnd w:id="4131"/>
    <w:bookmarkStart w:name="637605587" w:id="4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1283. Вблизи гидрогенераторов допускается установка воздухосборников сжатого воздуха.</w:t>
      </w:r>
    </w:p>
    <w:bookmarkEnd w:id="4132"/>
    <w:bookmarkStart w:name="637605588" w:id="4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1284.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p>
    <w:bookmarkEnd w:id="4133"/>
    <w:bookmarkStart w:name="637605589" w:id="4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1285. 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w:t>
      </w:r>
    </w:p>
    <w:bookmarkEnd w:id="4134"/>
    <w:bookmarkStart w:name="637605590" w:id="4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p>
    <w:bookmarkEnd w:id="4135"/>
    <w:bookmarkStart w:name="637605591" w:id="41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1286. Система пожаротушения гидрогенераторов должна предусматривать отвод использованной воды в дренажную систему.</w:t>
      </w:r>
    </w:p>
    <w:bookmarkEnd w:id="4136"/>
    <w:bookmarkStart w:name="637605592" w:id="41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1287.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подпункта 2) пункта 1237 настоящих Правил.</w:t>
      </w:r>
    </w:p>
    <w:bookmarkEnd w:id="4137"/>
    <w:bookmarkStart w:name="637605593" w:id="4138"/>
    <w:p>
      <w:pPr>
        <w:spacing w:before="120" w:after="120" w:line="240"/>
        <w:ind w:left="0"/>
        <w:jc w:val="both"/>
      </w:pPr>
      <w:r>
        <w:rPr>
          <w:rFonts w:hint="default" w:ascii="Times New Roman" w:hAnsi="Times New Roman"/>
          <w:b/>
          <w:i w:val="false"/>
          <w:color w:val="000000"/>
          <w:sz w:val="24"/>
        </w:rPr>
        <w:t>21. Электродвигатели и их коммутационные аппараты</w:t>
      </w:r>
    </w:p>
    <w:bookmarkEnd w:id="4138"/>
    <w:bookmarkStart w:name="637605594" w:id="4139"/>
    <w:p>
      <w:pPr>
        <w:spacing w:before="120" w:after="120" w:line="240"/>
        <w:ind w:left="0"/>
        <w:jc w:val="center"/>
      </w:pPr>
      <w:r>
        <w:rPr>
          <w:rFonts w:hint="default" w:ascii="Times New Roman" w:hAnsi="Times New Roman"/>
          <w:b/>
          <w:i w:val="false"/>
          <w:color w:val="000000"/>
          <w:sz w:val="24"/>
        </w:rPr>
        <w:t>Параграф 1. Общие положения</w:t>
      </w:r>
    </w:p>
    <w:bookmarkEnd w:id="4139"/>
    <w:bookmarkStart w:name="637605595" w:id="4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1288. Меры по обеспечению надежности питания должны выбираться в соответствии с требованиями главы 2 настоящих Правил в зависимости от категории ответственности электроприемников. Эти меры применяются не к отдельным электродвигателям, а к питающим их трансформаторам и преобразовательным подстанциям, распределительным устройствам и пунктам.</w:t>
      </w:r>
    </w:p>
    <w:bookmarkEnd w:id="4140"/>
    <w:bookmarkStart w:name="637605596" w:id="4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Резервирования линии, непосредственно питающей электродвигатель, не требуется независимо от категории надежности электроснабжения.</w:t>
      </w:r>
    </w:p>
    <w:bookmarkEnd w:id="4141"/>
    <w:bookmarkStart w:name="637605597" w:id="41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1289.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осуществляется путем установки резервного технологического агрегата пли другими способами.</w:t>
      </w:r>
    </w:p>
    <w:bookmarkEnd w:id="4142"/>
    <w:bookmarkStart w:name="637605598" w:id="4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1290.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w:t>
      </w:r>
    </w:p>
    <w:bookmarkEnd w:id="4143"/>
    <w:bookmarkStart w:name="637605599" w:id="41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1291. Электродвигатели и аппараты должны быть установлены таким образом, чтобы они были доступны для осмотра и замены, а также по возможности для ремонта на месте установки. Если электроустановка содержит электродвигатели или аппараты массой 100 кг и более, то должны быть предусмотрены приспособления для их такелажа.</w:t>
      </w:r>
    </w:p>
    <w:bookmarkEnd w:id="4144"/>
    <w:bookmarkStart w:name="637605600" w:id="4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1292.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p>
    <w:bookmarkEnd w:id="4145"/>
    <w:bookmarkStart w:name="637605601" w:id="4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1293. Электродвигатели и их коммутационные аппараты должны быть заземлены или занулены в соответствии с требованиями главы 7 настоящих Правил.</w:t>
      </w:r>
    </w:p>
    <w:bookmarkEnd w:id="4146"/>
    <w:bookmarkStart w:name="637605602" w:id="41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1294. Исполнение электродвигателей должно соответствовать условиям окружающей среды.</w:t>
      </w:r>
    </w:p>
    <w:bookmarkEnd w:id="4147"/>
    <w:bookmarkStart w:name="637605603" w:id="4148"/>
    <w:p>
      <w:pPr>
        <w:spacing w:before="120" w:after="120" w:line="240"/>
        <w:ind w:left="0"/>
        <w:jc w:val="center"/>
      </w:pPr>
      <w:r>
        <w:rPr>
          <w:rFonts w:hint="default" w:ascii="Times New Roman" w:hAnsi="Times New Roman"/>
          <w:b/>
          <w:i w:val="false"/>
          <w:color w:val="000000"/>
          <w:sz w:val="24"/>
        </w:rPr>
        <w:t>Параграф 2. Выбор электродвигателей</w:t>
      </w:r>
    </w:p>
    <w:bookmarkEnd w:id="4148"/>
    <w:bookmarkStart w:name="637605604" w:id="41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1295.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должны соответствовать параметрам приводимых ими механизмов во всех режимах их работы в данной установке.</w:t>
      </w:r>
    </w:p>
    <w:bookmarkEnd w:id="4149"/>
    <w:bookmarkStart w:name="637605605" w:id="4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1296.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w:t>
      </w:r>
    </w:p>
    <w:bookmarkEnd w:id="4150"/>
    <w:bookmarkStart w:name="637605606" w:id="4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Применять для механизмов с самозапуском электродвигатели и трансформаторы большей мощности, чем это требуется для их нормальной длительной работы, не требуется.</w:t>
      </w:r>
    </w:p>
    <w:bookmarkEnd w:id="4151"/>
    <w:bookmarkStart w:name="637605607" w:id="4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1297. Для привода механизмов, не требующих регулирования частоты вращения, независимо от их мощности применяются электродвигатели синхронные или асинхронные с короткозамкнутым ротором.</w:t>
      </w:r>
    </w:p>
    <w:bookmarkEnd w:id="4152"/>
    <w:bookmarkStart w:name="637605608" w:id="4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привода механизмов, имеющих тяжелые условия пуска или работы либо требующих изменения частоты вращения, применяются электродвигатели с наиболее простыми и экономичными методами пуска или регулирования частоты вращения, возможными в данной установке.</w:t>
      </w:r>
    </w:p>
    <w:bookmarkEnd w:id="4153"/>
    <w:bookmarkStart w:name="637605609" w:id="4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1298. Синхронные электродвигатели, должны иметь устройствой форсировки возбуждения или компаундирования.</w:t>
      </w:r>
    </w:p>
    <w:bookmarkEnd w:id="4154"/>
    <w:bookmarkStart w:name="637605610" w:id="4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1299. Синхронные электродвигатели в случаях, когда они по своей мощности обеспечивают регулирование напряжения или режима реактивной мощности в данном узле нагрузки, должны иметь АВР согласно пункта 767 настоящих Правил.</w:t>
      </w:r>
    </w:p>
    <w:bookmarkEnd w:id="4155"/>
    <w:bookmarkStart w:name="637605611" w:id="4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1300. Электродвигатели постоянного тока допускается применять только в тех случаях, когда электродвигатели переменного тока не обеспечивают требуемых характеристик механизма или неэкономичны.</w:t>
      </w:r>
    </w:p>
    <w:bookmarkEnd w:id="4156"/>
    <w:bookmarkStart w:name="637605612" w:id="4157"/>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1301. Электродвигатели, устанавливаемые в помещениях с нормальной средой, должны иметь исполнение IP00 или IP20 (International/Ingress Protection степень защиты приводится в виде IP__).</w:t>
      </w:r>
    </w:p>
    <w:bookmarkEnd w:id="4157"/>
    <w:bookmarkStart w:name="637605613" w:id="41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1302. Электродвигатели, устанавливаемые на открытом воздухе, должны иметь исполнение не менее IP44 или специальное, соответствующее условиям их работы (для открытых химических установок, для особо низких температур).</w:t>
      </w:r>
    </w:p>
    <w:bookmarkEnd w:id="4158"/>
    <w:bookmarkStart w:name="637605614" w:id="41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1303.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w:t>
      </w:r>
    </w:p>
    <w:bookmarkEnd w:id="4159"/>
    <w:bookmarkStart w:name="637605615" w:id="41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продуваемом исполнении электродвигателя предусматриваются задвижки для предотвращения всаса окружающего воздуха при останове электродвигателя. Подогрев наружного (холодного) воздуха не требуется.</w:t>
      </w:r>
    </w:p>
    <w:bookmarkEnd w:id="4160"/>
    <w:bookmarkStart w:name="637605616" w:id="41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1304. Электродвигатели, устанавливаемые в местах сырых или особо сырых, должны иметь исполнение не менее IР43 и изоляцию, рассчитанную на действие влаги и пыли (со специальной обмазкой, влагостойкую).</w:t>
      </w:r>
    </w:p>
    <w:bookmarkEnd w:id="4161"/>
    <w:bookmarkStart w:name="637605617" w:id="4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1305.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пункте 1302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bookmarkEnd w:id="4162"/>
    <w:bookmarkStart w:name="637605618" w:id="4163"/>
    <w:p>
      <w:pPr>
        <w:spacing w:before="120" w:after="120" w:line="240"/>
        <w:ind w:left="0"/>
        <w:jc w:val="both"/>
      </w:pPr>
      <w:r>
        <w:rPr>
          <w:rFonts w:hint="default" w:ascii="Times New Roman" w:hAnsi="Times New Roman"/>
          <w:b w:val="false"/>
          <w:i w:val="false"/>
          <w:color w:val="000000"/>
          <w:sz w:val="24"/>
        </w:rPr>
        <w:t xml:space="preserve">1306. Для электродвигателей, устанавливаемых в помещениях с температурой воздуха более плюс 40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должны выполняться мероприятия, исключающие возможность их недопустимого нагрева (принудительная вентиляция с подводом охлаждающего воздуха, наружный обдув).</w:t>
      </w:r>
    </w:p>
    <w:bookmarkEnd w:id="4163"/>
    <w:bookmarkStart w:name="637605619" w:id="41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1307. При замкнутой принудительной системе вентиляции электродвигателей предусматриваются приборы контроля температуры воздуха и охлаждающей воды.</w:t>
      </w:r>
    </w:p>
    <w:bookmarkEnd w:id="4164"/>
    <w:bookmarkStart w:name="637605620" w:id="41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1308.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проведения периодических измерений. Щитовые измерительные приборы для этого, не предусматриваются.</w:t>
      </w:r>
    </w:p>
    <w:bookmarkEnd w:id="4165"/>
    <w:bookmarkStart w:name="637605621" w:id="4166"/>
    <w:p>
      <w:pPr>
        <w:spacing w:before="120" w:after="120" w:line="240"/>
        <w:ind w:left="0"/>
        <w:jc w:val="center"/>
      </w:pPr>
      <w:r>
        <w:rPr>
          <w:rFonts w:hint="default" w:ascii="Times New Roman" w:hAnsi="Times New Roman"/>
          <w:b/>
          <w:i w:val="false"/>
          <w:color w:val="000000"/>
          <w:sz w:val="24"/>
        </w:rPr>
        <w:t>Параграф 3. Установка электродвигателей</w:t>
      </w:r>
    </w:p>
    <w:bookmarkEnd w:id="4166"/>
    <w:bookmarkStart w:name="637605622" w:id="41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1309.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а вибрация оборудования, фундаментов и частей здания не превышала допустимых значений.</w:t>
      </w:r>
    </w:p>
    <w:bookmarkEnd w:id="4167"/>
    <w:bookmarkStart w:name="637605623" w:id="4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1310. Шум, создаваемый электродвигателем совместно с приводимым им механизмом, не должен превышать допустимого уровня.</w:t>
      </w:r>
    </w:p>
    <w:bookmarkEnd w:id="4168"/>
    <w:bookmarkStart w:name="637605624" w:id="4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1311.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главе 20 настоящих Правил.</w:t>
      </w:r>
    </w:p>
    <w:bookmarkEnd w:id="4169"/>
    <w:bookmarkStart w:name="637605625" w:id="41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1312.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1 м oт конструкций зданий, выполненных из сгораемых материалов.</w:t>
      </w:r>
    </w:p>
    <w:bookmarkEnd w:id="4170"/>
    <w:bookmarkStart w:name="637605626" w:id="41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1313.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p>
    <w:bookmarkEnd w:id="4171"/>
    <w:bookmarkStart w:name="637605627" w:id="41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1314. Электродвигатели выше 1 кВ разрешается устанавливать непосредственно в производственных помещениях, соблюдая следующие условия:</w:t>
      </w:r>
    </w:p>
    <w:bookmarkEnd w:id="4172"/>
    <w:bookmarkStart w:name="637605628" w:id="4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электродвигатели, имеющие выводы под статором или требующие специальных устройств для охлаждения, устанавливаются на фундаменте с камерой (фундаментной ямой);</w:t>
      </w:r>
    </w:p>
    <w:bookmarkEnd w:id="4173"/>
    <w:bookmarkStart w:name="637605629" w:id="41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фундаментная яма электродвигателя должна удовлетворять требованиям, предъявляемым к камерам ЗРУ выше 1 кВ;</w:t>
      </w:r>
    </w:p>
    <w:bookmarkEnd w:id="4174"/>
    <w:bookmarkStart w:name="637605630" w:id="4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размеры фундаментной ямы должны быть не менее допускаемых для полупроходных кабельных туннелей.</w:t>
      </w:r>
    </w:p>
    <w:bookmarkEnd w:id="4175"/>
    <w:bookmarkStart w:name="637605631" w:id="4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1315.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p>
    <w:bookmarkEnd w:id="4176"/>
    <w:bookmarkStart w:name="637605632" w:id="4177"/>
    <w:p>
      <w:pPr>
        <w:spacing w:before="120" w:after="120" w:line="240"/>
        <w:ind w:left="0"/>
        <w:jc w:val="center"/>
      </w:pPr>
      <w:r>
        <w:rPr>
          <w:rFonts w:hint="default" w:ascii="Times New Roman" w:hAnsi="Times New Roman"/>
          <w:b/>
          <w:i w:val="false"/>
          <w:color w:val="000000"/>
          <w:sz w:val="24"/>
        </w:rPr>
        <w:t>Параграф 4. Коммутационные аппараты</w:t>
      </w:r>
    </w:p>
    <w:bookmarkEnd w:id="4177"/>
    <w:bookmarkStart w:name="637605633" w:id="4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1316. Для группы электродвигателей, служащих для привода одной машины или ряда машин, осуществляющих единый технологический процесс, применяется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w:t>
      </w:r>
    </w:p>
    <w:bookmarkEnd w:id="4178"/>
    <w:bookmarkStart w:name="637605634" w:id="4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p>
    <w:bookmarkEnd w:id="4179"/>
    <w:bookmarkStart w:name="637605635" w:id="41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1317.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w:t>
      </w:r>
    </w:p>
    <w:bookmarkEnd w:id="4180"/>
    <w:bookmarkStart w:name="637605636" w:id="4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требуется устанавливать аппараты аварийного отключения у механизмов:</w:t>
      </w:r>
    </w:p>
    <w:bookmarkEnd w:id="4181"/>
    <w:bookmarkStart w:name="637605637" w:id="4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расположенных в пределах видимости с места управления;</w:t>
      </w:r>
    </w:p>
    <w:bookmarkEnd w:id="4182"/>
    <w:bookmarkStart w:name="637605638" w:id="41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доступных только квалифицированному обслуживающему персоналу (вентиляторы, устанавливаемые на крышах, вентиляторы и насосы, устанавливаемые в отдельных помещениях);</w:t>
      </w:r>
    </w:p>
    <w:bookmarkEnd w:id="4183"/>
    <w:bookmarkStart w:name="637605639" w:id="4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bookmarkEnd w:id="4184"/>
    <w:bookmarkStart w:name="637605640" w:id="4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имеющих аппарат местного управления с фиксацией команды на отключение.</w:t>
      </w:r>
    </w:p>
    <w:bookmarkEnd w:id="4185"/>
    <w:bookmarkStart w:name="637605641" w:id="4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p>
    <w:bookmarkEnd w:id="4186"/>
    <w:bookmarkStart w:name="637605642" w:id="4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1318.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p>
    <w:bookmarkEnd w:id="4187"/>
    <w:bookmarkStart w:name="637605643" w:id="4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p>
    <w:bookmarkEnd w:id="4188"/>
    <w:bookmarkStart w:name="637605644" w:id="4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1319.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предусматривается световая сигнализациая.</w:t>
      </w:r>
    </w:p>
    <w:bookmarkEnd w:id="4189"/>
    <w:bookmarkStart w:name="637605645" w:id="4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1320.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p>
    <w:bookmarkEnd w:id="4190"/>
    <w:bookmarkStart w:name="637605646" w:id="41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1321. Коммутационные аппараты должны быть стойкими к расчетным токам КЗ.</w:t>
      </w:r>
    </w:p>
    <w:bookmarkEnd w:id="4191"/>
    <w:bookmarkStart w:name="637605647" w:id="41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1322.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p>
    <w:bookmarkEnd w:id="4192"/>
    <w:bookmarkStart w:name="637605648" w:id="41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p>
    <w:bookmarkEnd w:id="4193"/>
    <w:bookmarkStart w:name="637605649" w:id="41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p>
    <w:bookmarkEnd w:id="4194"/>
    <w:bookmarkStart w:name="637605650" w:id="4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1323. Включение обмоток магнитных пускателей, контакторов и автоматических выключателей в сети до 1 кВ с заземленной нейтралью может производиться на междуфазное или фазное напряжение.</w:t>
      </w:r>
    </w:p>
    <w:bookmarkEnd w:id="4195"/>
    <w:bookmarkStart w:name="637605651" w:id="41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p>
    <w:bookmarkEnd w:id="4196"/>
    <w:bookmarkStart w:name="637605652" w:id="4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p>
    <w:bookmarkEnd w:id="4197"/>
    <w:bookmarkStart w:name="637605653" w:id="41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1324. Коммутационные аппараты электродвигателей, питаемых по схеме блока трансформатор – электродвигатель, устанавливается на вводе от сети, питающей блок, без установки их на вводе к электродвигателю.</w:t>
      </w:r>
    </w:p>
    <w:bookmarkEnd w:id="4198"/>
    <w:bookmarkStart w:name="637605654" w:id="4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1325.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w:t>
      </w:r>
    </w:p>
    <w:bookmarkEnd w:id="4199"/>
    <w:bookmarkStart w:name="637605655" w:id="4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1326.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w:t>
      </w:r>
    </w:p>
    <w:bookmarkEnd w:id="4200"/>
    <w:bookmarkStart w:name="637605656" w:id="4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работа с замыканием колец электродвигателя накоротко, при пусковом статическом моменте механизма, не превышающем 50 % номинального момента электродвигателя (легкий пуск), – 35 % номинального тока ротора, в остальных случаях – 50 % номинального тока ротора;</w:t>
      </w:r>
    </w:p>
    <w:bookmarkEnd w:id="4201"/>
    <w:bookmarkStart w:name="637605657" w:id="4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работа без замыкания колец электродвигателя накоротко – 100 % номинального тока ротора.</w:t>
      </w:r>
    </w:p>
    <w:bookmarkEnd w:id="4202"/>
    <w:bookmarkStart w:name="637605658" w:id="4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1327. Пуск асинхронных электродвигателей с короткозамкнутым ротором и синхронных электродвигателей должен производиться, непосредственным включением в сеть (прямой пуск). При невозможности прямого пуска применяется пуск через реактор, трансформатор или автотрансформатор. В особых случаях допускается применение пуска с подъемом частоты сети с нуля.</w:t>
      </w:r>
    </w:p>
    <w:bookmarkEnd w:id="4203"/>
    <w:bookmarkStart w:name="637605659" w:id="4204"/>
    <w:p>
      <w:pPr>
        <w:spacing w:before="120" w:after="120" w:line="240"/>
        <w:ind w:left="0"/>
        <w:jc w:val="center"/>
      </w:pPr>
      <w:r>
        <w:rPr>
          <w:rFonts w:hint="default" w:ascii="Times New Roman" w:hAnsi="Times New Roman"/>
          <w:b/>
          <w:i w:val="false"/>
          <w:color w:val="000000"/>
          <w:sz w:val="24"/>
        </w:rPr>
        <w:t>Параграф 5. Защита асинхронных и синхронных электродвигателей напряжением выше 1 кВ</w:t>
      </w:r>
    </w:p>
    <w:bookmarkEnd w:id="4204"/>
    <w:bookmarkStart w:name="637605660" w:id="4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1328. На электродвигателях должна предусматриваться защита от многофазных замыканий и в случаях, оговоренных ниже, защита от однофазных замыканий на землю, защита от токов перегрузки и защита минимального напряжения. На синхронных электродвигателях должна, кроме того, предусматриваться защита от асинхронного режима, которая может быть совмещена с защитой от токов перегрузки.</w:t>
      </w:r>
    </w:p>
    <w:bookmarkEnd w:id="4205"/>
    <w:bookmarkStart w:name="637605661" w:id="4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с изменяемой частотой вращения устанавливается защита, действующая на сигнализацию и отключение при повышении температуры корпуса электродвигателя. На двигателях малой мощности допускается совмещение этой защиты с защитой от токов перегрузки.</w:t>
      </w:r>
    </w:p>
    <w:bookmarkEnd w:id="4206"/>
    <w:bookmarkStart w:name="637605662" w:id="4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имеющих принудительную смазку подшипников, устанавливается защита, действующую на сигнал и отключение электродвигателя при повышении температуры или прекращении действия смазки.</w:t>
      </w:r>
    </w:p>
    <w:bookmarkEnd w:id="4207"/>
    <w:bookmarkStart w:name="637605663" w:id="4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имеющих принудительную вентиляцию, устанавливается защита, действующую на сигнал и отключение электродвигателя при повышении температуры или прекращении действия вентиляции.</w:t>
      </w:r>
    </w:p>
    <w:bookmarkEnd w:id="4208"/>
    <w:bookmarkStart w:name="637605664" w:id="42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1329. 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p>
    <w:bookmarkEnd w:id="4209"/>
    <w:bookmarkStart w:name="637605665" w:id="4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1330. Для защиты электродвигателей от многофазных замыканий в случаях, когда не применяются предохранители, должна предусматриваться:</w:t>
      </w:r>
    </w:p>
    <w:bookmarkEnd w:id="4210"/>
    <w:bookmarkStart w:name="637605666" w:id="4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p>
    <w:bookmarkEnd w:id="4211"/>
    <w:bookmarkStart w:name="637605667" w:id="4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а также для электродвигателей мощностью менее 2 МВт, когда защита по подпункту 1 настоящего пункта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bookmarkEnd w:id="4212"/>
    <w:bookmarkStart w:name="637605668" w:id="4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p>
    <w:bookmarkEnd w:id="4213"/>
    <w:bookmarkStart w:name="637605669" w:id="42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продольная дифференциальная токовая защита – для электродвигателей мощностью 5 МВт и более, а также менее 5 МВт, если установка токовых отсечек по подпункту 1) и 2) настоящего пункта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p>
    <w:bookmarkEnd w:id="4214"/>
    <w:bookmarkStart w:name="637605670" w:id="42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электродвигателей мощностью 5 МВт и более, выполненных без шести выводов обмотки статора, должна предусматриваться токовая отсечка.</w:t>
      </w:r>
    </w:p>
    <w:bookmarkEnd w:id="4215"/>
    <w:bookmarkStart w:name="637605671" w:id="4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1331. Для блоков трансформатор (автотрансформатор) — электродвигатель должна предусматриваться общая защита от многофазных замыканий:</w:t>
      </w:r>
    </w:p>
    <w:bookmarkEnd w:id="4216"/>
    <w:bookmarkStart w:name="637605672" w:id="4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токовая отсечка без выдержки времени, отстроенная от пусковых токов при выведенных пусковых устройствах,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 включенных на фазные токи и одного – включенного на сумму этих токов.</w:t>
      </w:r>
    </w:p>
    <w:bookmarkEnd w:id="4217"/>
    <w:bookmarkStart w:name="637605673" w:id="42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невозможности установки трех реле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p>
    <w:bookmarkEnd w:id="4218"/>
    <w:bookmarkStart w:name="637605674" w:id="4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подпункту 1) настощего пункта не удовлетворяет требованиям чувствительности при междуфазном КЗ на выводах электродвигателя;</w:t>
      </w:r>
    </w:p>
    <w:bookmarkEnd w:id="4219"/>
    <w:bookmarkStart w:name="637605675" w:id="4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1) и 2) настоящего пунткта не удовлетворяет требованиям чувствительности.</w:t>
      </w:r>
    </w:p>
    <w:bookmarkEnd w:id="4220"/>
    <w:bookmarkStart w:name="637605676" w:id="42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Оценка чувствительности должна производиться в соответствии с пунктами 615 и 616 настоящих Правил при КЗ на выводах электродвигателя.</w:t>
      </w:r>
    </w:p>
    <w:bookmarkEnd w:id="4221"/>
    <w:bookmarkStart w:name="637605677" w:id="4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действовать на отключение выключателя блока, а у синхронных электродвигателей – также на устройство АГП, если оно предусмотрено.</w:t>
      </w:r>
    </w:p>
    <w:bookmarkEnd w:id="4222"/>
    <w:bookmarkStart w:name="637605678" w:id="4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блоков с электродвигателями мощностью более 20 МВт, предусматривается защита от замыкания на землю, охватывающая не менее 85 % витков обмотки статора электродвигателя и действующая на сигнал с выдержкой времени.</w:t>
      </w:r>
    </w:p>
    <w:bookmarkEnd w:id="4223"/>
    <w:bookmarkStart w:name="637605679" w:id="4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Указания по выполнению остальных видов защиты трансформаторов (автотрансформаторов) и электродвигателей при работе их раздельно действительны и в том случае, когда они объединены в блок трансформатор (автотрансформатор) – электродвигатель.</w:t>
      </w:r>
    </w:p>
    <w:bookmarkEnd w:id="4224"/>
    <w:bookmarkStart w:name="637605680" w:id="4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1332.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p>
    <w:bookmarkEnd w:id="4225"/>
    <w:bookmarkStart w:name="637605681" w:id="4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w:t>
      </w:r>
    </w:p>
    <w:bookmarkEnd w:id="4226"/>
    <w:bookmarkStart w:name="637605682" w:id="4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выполняется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устанавливать их у выводов электродвигателя в фундаментной яме.</w:t>
      </w:r>
    </w:p>
    <w:bookmarkEnd w:id="4227"/>
    <w:bookmarkStart w:name="637605683" w:id="4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50–100 А.</w:t>
      </w:r>
    </w:p>
    <w:bookmarkEnd w:id="4228"/>
    <w:bookmarkStart w:name="637605684" w:id="4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должна действовать на отключение электродвигателя, а у синхронных электродвигателей – также на устройство АГП, если оно предусмотрено.</w:t>
      </w:r>
    </w:p>
    <w:bookmarkEnd w:id="4229"/>
    <w:bookmarkStart w:name="637605685" w:id="4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1333.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секунд и более), перегрузка которых возможна при чрезмерном увеличении длительности пускового периода вследствие понижения напряжения в сети.</w:t>
      </w:r>
    </w:p>
    <w:bookmarkEnd w:id="4230"/>
    <w:bookmarkStart w:name="637605686" w:id="4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перегрузки предусматривается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наибольшей допустимой по тепловой характеристике электродвигателя.</w:t>
      </w:r>
    </w:p>
    <w:bookmarkEnd w:id="4231"/>
    <w:bookmarkStart w:name="637605687" w:id="4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подверженных перегрузке по технологическим причинам, защита, выполняется с действием на сигнал и автоматическую разгрузку механизма.</w:t>
      </w:r>
    </w:p>
    <w:bookmarkEnd w:id="4232"/>
    <w:bookmarkStart w:name="637605688" w:id="4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Действие защиты на отключение электродвигателя допускается:</w:t>
      </w:r>
    </w:p>
    <w:bookmarkEnd w:id="4233"/>
    <w:bookmarkStart w:name="637605689" w:id="42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p>
    <w:bookmarkEnd w:id="4234"/>
    <w:bookmarkStart w:name="637605690" w:id="4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механизмов с тяжелыми условиями пуска или самозапуска.</w:t>
      </w:r>
    </w:p>
    <w:bookmarkEnd w:id="4235"/>
    <w:bookmarkStart w:name="637605691" w:id="4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p>
    <w:bookmarkEnd w:id="4236"/>
    <w:bookmarkStart w:name="637605692" w:id="4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1334. Защита синхронных 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p>
    <w:bookmarkEnd w:id="4237"/>
    <w:bookmarkStart w:name="637605693" w:id="4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выполняется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p>
    <w:bookmarkEnd w:id="4238"/>
    <w:bookmarkStart w:name="637605694" w:id="4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выполнении схемы защиты должны приниматься меры по предотвращению отказа защиты при биениях тока асинхронного режима.</w:t>
      </w:r>
    </w:p>
    <w:bookmarkEnd w:id="4239"/>
    <w:bookmarkStart w:name="637605695" w:id="4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применение других способов защиты, обеспечивающих надежное действие защиты при возникновении асинхронного режима.</w:t>
      </w:r>
    </w:p>
    <w:bookmarkEnd w:id="4240"/>
    <w:bookmarkStart w:name="637605696" w:id="42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1335. Защита синхронных электродвигателей от асинхронного режима должна действовать с выдержкой времени на одну из схем, предусматривающих:</w:t>
      </w:r>
    </w:p>
    <w:bookmarkEnd w:id="4241"/>
    <w:bookmarkStart w:name="637605697" w:id="42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ресинхронизацию;</w:t>
      </w:r>
    </w:p>
    <w:bookmarkEnd w:id="4242"/>
    <w:bookmarkStart w:name="637605698" w:id="42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p>
    <w:bookmarkEnd w:id="4243"/>
    <w:bookmarkStart w:name="637605699" w:id="4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отключение электродвигателя и повторный автоматический пуск;</w:t>
      </w:r>
    </w:p>
    <w:bookmarkEnd w:id="4244"/>
    <w:bookmarkStart w:name="637605700" w:id="4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p>
    <w:bookmarkEnd w:id="4245"/>
    <w:bookmarkStart w:name="637605701" w:id="4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1336. Для облегчения условий восстановления напряжения после отключения КЗ и обеспечения самозапуска электродвигателей ответственных механизмов предусматривается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p>
    <w:bookmarkEnd w:id="4246"/>
    <w:bookmarkStart w:name="637605702" w:id="4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Bыдеpжки времени защиты минимального напряжения должны выбираться в пределах от 0,5 до 1,5 секунды – на ступень больше времени действия быстродействующих защит от многофазных КЗ, а уставки по напряжению должны быть, не выше 70 % номинального напряжения.</w:t>
      </w:r>
    </w:p>
    <w:bookmarkEnd w:id="4247"/>
    <w:bookmarkStart w:name="637605703" w:id="4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синхронных электродвигателей, если напряжение на отключенной секции затухает медленно, в целях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p>
    <w:bookmarkEnd w:id="4248"/>
    <w:bookmarkStart w:name="637605704" w:id="42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Эти же средства используются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p>
    <w:bookmarkEnd w:id="4249"/>
    <w:bookmarkStart w:name="637605705" w:id="4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применяется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может быть осуществлено по току, напряжению или времени.</w:t>
      </w:r>
    </w:p>
    <w:bookmarkEnd w:id="4250"/>
    <w:bookmarkStart w:name="637605706" w:id="4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1337. Защита минимального напряжения с выдержкой времени не более 10 с и уставкой по напряжению, не выше 50 % номинального напряжения (кроме случаев, приведенных в пункте 1335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Кроме указанных случаев эту защиту используют также для обеспечения надежности пуска АВР электродвигателей взаиморезервируемых механизмов.</w:t>
      </w:r>
    </w:p>
    <w:bookmarkEnd w:id="4251"/>
    <w:bookmarkStart w:name="637605707" w:id="42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p>
    <w:bookmarkEnd w:id="4252"/>
    <w:bookmarkStart w:name="637605708" w:id="42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1338.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bookmarkEnd w:id="4253"/>
    <w:bookmarkStart w:name="637605709" w:id="4254"/>
    <w:p>
      <w:pPr>
        <w:spacing w:before="120" w:after="120" w:line="240"/>
        <w:ind w:left="0"/>
        <w:jc w:val="center"/>
      </w:pPr>
      <w:r>
        <w:rPr>
          <w:rFonts w:hint="default" w:ascii="Times New Roman" w:hAnsi="Times New Roman"/>
          <w:b/>
          <w:i w:val="false"/>
          <w:color w:val="000000"/>
          <w:sz w:val="24"/>
        </w:rPr>
        <w:t>Параграф 6. Защита электродвигателей напряжением до 1 кВ (асинхронных, синхронных и постоянного тока)</w:t>
      </w:r>
    </w:p>
    <w:bookmarkEnd w:id="4254"/>
    <w:bookmarkStart w:name="637605710" w:id="42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1339. Для электродвигателей переменного тока должна предусматриваться защита от многофазных замыканий, в сетях с глухозаземленной нейтралью – также от однофазных замыканий, а в случаях, предусмотренных в пунктах 1340 и 1341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пункта 1342 настоящих Правил.</w:t>
      </w:r>
    </w:p>
    <w:bookmarkEnd w:id="4255"/>
    <w:bookmarkStart w:name="637605711" w:id="4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электродвигателей постоянного тока должны предусматриваться защиты от КЗ. При необходимости дополнительно устанавливаются защиты от перегрузки и от чрезмерного повышения частоты вращения.</w:t>
      </w:r>
    </w:p>
    <w:bookmarkEnd w:id="4256"/>
    <w:bookmarkStart w:name="637605712" w:id="4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1340. Для защиты электродвигателей от КЗ должны применяться предохранители или автоматические выключатели.</w:t>
      </w:r>
    </w:p>
    <w:bookmarkEnd w:id="4257"/>
    <w:bookmarkStart w:name="637605713" w:id="42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это отношение должно быть равным 2,0–1,6.</w:t>
      </w:r>
    </w:p>
    <w:bookmarkEnd w:id="4258"/>
    <w:bookmarkStart w:name="637605714" w:id="42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пункте 586 настоящих Правил.</w:t>
      </w:r>
    </w:p>
    <w:bookmarkEnd w:id="4259"/>
    <w:bookmarkStart w:name="637605715" w:id="4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p>
    <w:bookmarkEnd w:id="4260"/>
    <w:bookmarkStart w:name="637605716" w:id="4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применяются выносные токовые реле с действием на независимый расцепитель выключателя.</w:t>
      </w:r>
    </w:p>
    <w:bookmarkEnd w:id="4261"/>
    <w:bookmarkStart w:name="637605717" w:id="4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надежного обеспечения селективности защит в питающей сети собственных нужд электростанций в качестве защиты электродвигателей от КЗ применяются электромагнитные расцепители-отсечки.</w:t>
      </w:r>
    </w:p>
    <w:bookmarkEnd w:id="4262"/>
    <w:bookmarkStart w:name="637605718" w:id="4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1341.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реле или другими устройствами.</w:t>
      </w:r>
    </w:p>
    <w:bookmarkEnd w:id="4263"/>
    <w:bookmarkStart w:name="637605719" w:id="4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от перегрузки должна действовать на отключение, на сигнал или на разгрузку механизма, если разгрузка возможна.</w:t>
      </w:r>
    </w:p>
    <w:bookmarkEnd w:id="4264"/>
    <w:bookmarkStart w:name="637605720" w:id="4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защиты от перегрузки не требуется для электродвигателей с повторно-кратковременным режимом работы.</w:t>
      </w:r>
    </w:p>
    <w:bookmarkEnd w:id="4265"/>
    <w:bookmarkStart w:name="637605721" w:id="4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1342. Защита минимального напряжения должна устанавливаться в следующих случаях, для:</w:t>
      </w:r>
    </w:p>
    <w:bookmarkEnd w:id="4266"/>
    <w:bookmarkStart w:name="637605722" w:id="4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электродвигателей постоянного тока, которые не допускают непосредственного включения в сеть;</w:t>
      </w:r>
    </w:p>
    <w:bookmarkEnd w:id="4267"/>
    <w:bookmarkStart w:name="637605723" w:id="4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электродвигателей механизмов, самозапуск которых после останова недопустим по условиям технологического процесса или по условиям безопасности;</w:t>
      </w:r>
    </w:p>
    <w:bookmarkEnd w:id="4268"/>
    <w:bookmarkStart w:name="637605724" w:id="42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части прочих электродвигателей в соответствии с условиями, приведенными в пункте 1335 настоящих Правил.</w:t>
      </w:r>
    </w:p>
    <w:bookmarkEnd w:id="4269"/>
    <w:bookmarkStart w:name="637605725" w:id="4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p>
    <w:bookmarkEnd w:id="4270"/>
    <w:bookmarkStart w:name="637605726" w:id="4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1343. Для синхронных электродвигателей защита от асинхронного режима должна, осуществляться с помощью защиты от перегрузки по току статора.</w:t>
      </w:r>
    </w:p>
    <w:bookmarkEnd w:id="4271"/>
    <w:bookmarkStart w:name="637605727" w:id="42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1344. Защита от КЗ в электродвигателях переменного и постоянного тока должна предусматриваться:</w:t>
      </w:r>
    </w:p>
    <w:bookmarkEnd w:id="4272"/>
    <w:bookmarkStart w:name="637605728" w:id="4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электроустановках с заземленной нейтралью – во всех фазах или полюсах;</w:t>
      </w:r>
    </w:p>
    <w:bookmarkEnd w:id="4273"/>
    <w:bookmarkStart w:name="637605729" w:id="4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электроустановках с изолированной нейтралью:</w:t>
      </w:r>
    </w:p>
    <w:bookmarkEnd w:id="4274"/>
    <w:bookmarkStart w:name="637605730" w:id="4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защите предохранителями – во всех фазах или полюсах;</w:t>
      </w:r>
    </w:p>
    <w:bookmarkEnd w:id="4275"/>
    <w:bookmarkStart w:name="637605731" w:id="4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защите автоматическими выключателями – не менее чем в двух фазах или одном полюсе, при этом, в пределах одной и той же электроустановки защита осуществляется в одних и тех же фазах или полюсах.</w:t>
      </w:r>
    </w:p>
    <w:bookmarkEnd w:id="4276"/>
    <w:bookmarkStart w:name="637605732" w:id="4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электродвигателей переменного тока от перегрузок должна выполняться:</w:t>
      </w:r>
    </w:p>
    <w:bookmarkEnd w:id="4277"/>
    <w:bookmarkStart w:name="637605733" w:id="42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двух фазах при защите электродвигателей от КЗ предохранителями;</w:t>
      </w:r>
    </w:p>
    <w:bookmarkEnd w:id="4278"/>
    <w:bookmarkStart w:name="637605734" w:id="42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одной фазе при защите электродвигателей от КЗ автоматическими выключателями.</w:t>
      </w:r>
    </w:p>
    <w:bookmarkEnd w:id="4279"/>
    <w:bookmarkStart w:name="637605735" w:id="4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Защита электродвигателей постоянного тока от перегрузок должна выполняться в одном полюсе.</w:t>
      </w:r>
    </w:p>
    <w:bookmarkEnd w:id="4280"/>
    <w:bookmarkStart w:name="637605736" w:id="42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1345. Аппараты защиты электродвигателей должны удовлетворять требованиям главы 12 настоящих Правил. Все виды защиты электродвигателей от КЗ, перегрузки, минимального напряжения допускается осуществлять соответствующими разделителями, встроенными в один аппарат.</w:t>
      </w:r>
    </w:p>
    <w:bookmarkEnd w:id="4281"/>
    <w:bookmarkStart w:name="637605737" w:id="42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1346.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p>
    <w:bookmarkEnd w:id="4282"/>
    <w:bookmarkStart w:name="637605738" w:id="4283"/>
    <w:p>
      <w:pPr>
        <w:spacing w:before="120" w:after="120" w:line="240"/>
        <w:ind w:left="0"/>
        <w:jc w:val="both"/>
      </w:pPr>
      <w:r>
        <w:rPr>
          <w:rFonts w:hint="default" w:ascii="Times New Roman" w:hAnsi="Times New Roman"/>
          <w:b/>
          <w:i w:val="false"/>
          <w:color w:val="000000"/>
          <w:sz w:val="24"/>
        </w:rPr>
        <w:t>22. Конденсаторные установки</w:t>
      </w:r>
    </w:p>
    <w:bookmarkEnd w:id="4283"/>
    <w:bookmarkStart w:name="637605739" w:id="4284"/>
    <w:p>
      <w:pPr>
        <w:spacing w:before="120" w:after="120" w:line="240"/>
        <w:ind w:left="0"/>
        <w:jc w:val="center"/>
      </w:pPr>
      <w:r>
        <w:rPr>
          <w:rFonts w:hint="default" w:ascii="Times New Roman" w:hAnsi="Times New Roman"/>
          <w:b/>
          <w:i w:val="false"/>
          <w:color w:val="000000"/>
          <w:sz w:val="24"/>
        </w:rPr>
        <w:t>Параграф 1. Схема электрических соединений, выбор оборудования</w:t>
      </w:r>
    </w:p>
    <w:bookmarkEnd w:id="4284"/>
    <w:bookmarkStart w:name="637605740" w:id="4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1347. Конденсаторные установки присоединяются к сети через отдельный аппарат, предназначенный для включения и отключения только конденсаторов или через общий аппарат с другим электроприемником, силовым трансформатором, асинхронным электродвигателем. Эти схемы применяютя при любом напряжении конденсаторной установки.</w:t>
      </w:r>
    </w:p>
    <w:bookmarkEnd w:id="4285"/>
    <w:bookmarkStart w:name="637605741" w:id="4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1348.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 номинального.</w:t>
      </w:r>
    </w:p>
    <w:bookmarkEnd w:id="4286"/>
    <w:bookmarkStart w:name="637605742" w:id="42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1349. Конденсаторные батареи на напряжение 10 кВ и ниже должны собираться,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 номинального согласно требований ТУ на соответствующий тип конденсатора.</w:t>
      </w:r>
    </w:p>
    <w:bookmarkEnd w:id="4287"/>
    <w:bookmarkStart w:name="637605743" w:id="42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1350. В трехфазных батареях однофазные конденсаторы соединяются в треугольник или звезду. Может применяться также последовательное или параллельно-последовательное соединение однофазных конденсаторов в каждой фазе трехфазной батареи.</w:t>
      </w:r>
    </w:p>
    <w:bookmarkEnd w:id="4288"/>
    <w:bookmarkStart w:name="637605744" w:id="42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1351. При выборе выключателя конденсаторной батареи должно учитываться наличие параллельно включенных конденсаторных батарей. При необходимости должны быть выполнены устройства, обеспечивающие снижение толчков тока в момент включения батареи.</w:t>
      </w:r>
    </w:p>
    <w:bookmarkEnd w:id="4289"/>
    <w:bookmarkStart w:name="637605745" w:id="42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1352.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p>
    <w:bookmarkEnd w:id="4290"/>
    <w:bookmarkStart w:name="637605746" w:id="42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1353. Конденсаторы должны иметь разрядные устройства.</w:t>
      </w:r>
    </w:p>
    <w:bookmarkEnd w:id="4291"/>
    <w:bookmarkStart w:name="637605747" w:id="4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Единичные конденсаторы для конденсаторных батарей применяются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внешнее разрядное устройство.</w:t>
      </w:r>
    </w:p>
    <w:bookmarkEnd w:id="4292"/>
    <w:bookmarkStart w:name="637605748" w:id="42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разрядных устройств, если они присоединены непосредственно (без коммутационных аппаратов и предохранителей в цепи присоединения) применяются:</w:t>
      </w:r>
    </w:p>
    <w:bookmarkEnd w:id="4293"/>
    <w:bookmarkStart w:name="637605749" w:id="42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трансформаторы напряжения или устройства с активно-индуктивным сопротивлением – для конденсаторных установок и батарей выше 1 кВ;</w:t>
      </w:r>
    </w:p>
    <w:bookmarkEnd w:id="4294"/>
    <w:bookmarkStart w:name="637605750" w:id="4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устройства с активным или активно-индуктивным сопротивлением – для конденсаторных установок и батарей до 1 кВ.</w:t>
      </w:r>
    </w:p>
    <w:bookmarkEnd w:id="4295"/>
    <w:bookmarkStart w:name="637605751" w:id="42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1354. Для достижения наиболее экономичного режима электрических сетей, согласованного потребителем, пользователем и электросетевыми компаниями всех уровней, работающих с переменным графиком реактивной нагрузки, применяется автоматическое регулирование мощности конденсаторной установки путем включения и отключения ее в целом или отдельных ее частей.</w:t>
      </w:r>
    </w:p>
    <w:bookmarkEnd w:id="4296"/>
    <w:bookmarkStart w:name="637605752" w:id="42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подключении компенсирующего устройства к индивидуальному приемнику электроэнергии через общий коммутационный аппарат, может применяться конденсаторная установка или батарея без автоматического регулирования, при этом, подбор ее по мощности должен обеспечивать согласованный уровень компенсации.</w:t>
      </w:r>
    </w:p>
    <w:bookmarkEnd w:id="4297"/>
    <w:bookmarkStart w:name="637605753" w:id="4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1355. Аппараты и токоведущие части в цепи конденсаторной батареи должны допускать длительное прохождение тока, составляющего 130 % номинального тока батареи.</w:t>
      </w:r>
    </w:p>
    <w:bookmarkEnd w:id="4298"/>
    <w:bookmarkStart w:name="637605754" w:id="4299"/>
    <w:p>
      <w:pPr>
        <w:spacing w:before="120" w:after="120" w:line="240"/>
        <w:ind w:left="0"/>
        <w:jc w:val="center"/>
      </w:pPr>
      <w:r>
        <w:rPr>
          <w:rFonts w:hint="default" w:ascii="Times New Roman" w:hAnsi="Times New Roman"/>
          <w:b/>
          <w:i w:val="false"/>
          <w:color w:val="000000"/>
          <w:sz w:val="24"/>
        </w:rPr>
        <w:t>Параграф 2. Защита</w:t>
      </w:r>
    </w:p>
    <w:bookmarkEnd w:id="4299"/>
    <w:bookmarkStart w:name="637605755" w:id="4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1356.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p>
    <w:bookmarkEnd w:id="4300"/>
    <w:bookmarkStart w:name="637605756" w:id="4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1357.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производится с выдержкой времени 3–5 минут. Повторное включение конденсаторной установки допускается после снижения напряжения в сети до номинального значения, но не ранее чем через 5 минут после ее отключения. Защита не требуется, если батарея выбрана с учетом максимально возможного значения напряжения цепи, так, что при повышении напряжения к единичному конденсатору не может быть длительно приложено напряжение более 110 % номинального.</w:t>
      </w:r>
    </w:p>
    <w:bookmarkEnd w:id="4301"/>
    <w:bookmarkStart w:name="637605757" w:id="43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 номинального.</w:t>
      </w:r>
    </w:p>
    <w:bookmarkEnd w:id="4302"/>
    <w:bookmarkStart w:name="637605758" w:id="43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1358. Для конденсаторной батареи, имеющей две или более параллельные ветви, применяется защиту, срабатывающую при нарушении равенства токов ветвей.</w:t>
      </w:r>
    </w:p>
    <w:bookmarkEnd w:id="4303"/>
    <w:bookmarkStart w:name="637605759" w:id="43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1359.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p>
    <w:bookmarkEnd w:id="4304"/>
    <w:bookmarkStart w:name="637605760" w:id="4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1360. На конденсаторных установках, собранных по схеме электрических соединений с несколькими батареями, должна применяться защита каждой батареи от токов КЗ независимо от защиты конденсаторной установки в целом. Такая защита батареи необязательна, если каждый единичный конденсатор защищен отдельным внешним или встроенным предохранителем. Защита батареи должна обеспечивать ее надежное отключение при наименьших и наибольших значениях тока КЗ в данной точке сети.</w:t>
      </w:r>
    </w:p>
    <w:bookmarkEnd w:id="4305"/>
    <w:bookmarkStart w:name="637605761" w:id="4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1361.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w:t>
      </w:r>
    </w:p>
    <w:bookmarkEnd w:id="4306"/>
    <w:bookmarkStart w:name="637605762" w:id="4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конденсаторов выше 1 кВ должны применяться предохранители, ограничивающие значение тока КЗ.</w:t>
      </w:r>
    </w:p>
    <w:bookmarkEnd w:id="4307"/>
    <w:bookmarkStart w:name="637605763" w:id="4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Внешние предохранители конденсаторов должны иметь указатели их перегорания (срабатывания).</w:t>
      </w:r>
    </w:p>
    <w:bookmarkEnd w:id="4308"/>
    <w:bookmarkStart w:name="637605764" w:id="4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1362. Защита конденсаторных установок от грозовых перенапряжений должна предусматриваться в тех случаях и теми же средствами, какие предусмотрены в главе 17 настоящих Правил.</w:t>
      </w:r>
    </w:p>
    <w:bookmarkEnd w:id="4309"/>
    <w:bookmarkStart w:name="637605765" w:id="4310"/>
    <w:p>
      <w:pPr>
        <w:spacing w:before="120" w:after="120" w:line="240"/>
        <w:ind w:left="0"/>
        <w:jc w:val="center"/>
      </w:pPr>
      <w:r>
        <w:rPr>
          <w:rFonts w:hint="default" w:ascii="Times New Roman" w:hAnsi="Times New Roman"/>
          <w:b/>
          <w:i w:val="false"/>
          <w:color w:val="000000"/>
          <w:sz w:val="24"/>
        </w:rPr>
        <w:t>Параграф 3. Электрические измерения</w:t>
      </w:r>
    </w:p>
    <w:bookmarkEnd w:id="4310"/>
    <w:bookmarkStart w:name="637605766" w:id="4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1363. Емкости фаз конденсаторной установки должны контролироваться стационарными устройствами измерения тока в каждой фазе.</w:t>
      </w:r>
    </w:p>
    <w:bookmarkEnd w:id="4311"/>
    <w:bookmarkStart w:name="637605767" w:id="4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конденсаторных установок мощностью до 400 квар допускается измерение тока только в одной фазе.</w:t>
      </w:r>
    </w:p>
    <w:bookmarkEnd w:id="4312"/>
    <w:bookmarkStart w:name="637605768" w:id="4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1364. Реактивная энергия, выданная в сеть конденсаторами, должна учитываться согласно требованиям главы 5 настоящих Правил.</w:t>
      </w:r>
    </w:p>
    <w:bookmarkEnd w:id="4313"/>
    <w:bookmarkStart w:name="637605769" w:id="4314"/>
    <w:p>
      <w:pPr>
        <w:spacing w:before="120" w:after="120" w:line="240"/>
        <w:ind w:left="0"/>
        <w:jc w:val="center"/>
      </w:pPr>
      <w:r>
        <w:rPr>
          <w:rFonts w:hint="default" w:ascii="Times New Roman" w:hAnsi="Times New Roman"/>
          <w:b/>
          <w:i w:val="false"/>
          <w:color w:val="000000"/>
          <w:sz w:val="24"/>
        </w:rPr>
        <w:t>Параграф 4. Установка конденсаторов</w:t>
      </w:r>
    </w:p>
    <w:bookmarkEnd w:id="4314"/>
    <w:bookmarkStart w:name="637605770" w:id="43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1365. Конструкция конденсаторной установки должна соответствовать условиям окружающей среды.</w:t>
      </w:r>
    </w:p>
    <w:bookmarkEnd w:id="4315"/>
    <w:bookmarkStart w:name="637605771" w:id="4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1366. Конденсаторные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пункте 954 настоящих Правил, с выходом наружу или в общее помещение.</w:t>
      </w:r>
    </w:p>
    <w:bookmarkEnd w:id="4316"/>
    <w:bookmarkStart w:name="637605772" w:id="4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Конденсаторные установки с общей массой масла до 600 кг в каждой, а также конденсаторные установки, состоящие из конденсаторов с негорючей жидкостью или с негорючим твердым заполнителем, или конденсаторы без заполнителя – размещаются в помещениях РУ до 1 кВ и выше или в основных и вспомогательных помещениях производств, отнесенных к категориям Г и Д.</w:t>
      </w:r>
    </w:p>
    <w:bookmarkEnd w:id="4317"/>
    <w:bookmarkStart w:name="637605773" w:id="43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1367.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 общей массы масла во всех конденсаторах и выполненный в соответствии с требованиями, приведенными в пункте 978 настоящих Правил. При наружном расположении устройство маслоприемников под конденсаторами не требуется.</w:t>
      </w:r>
    </w:p>
    <w:bookmarkEnd w:id="4318"/>
    <w:bookmarkStart w:name="637605774" w:id="43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1368.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p>
    <w:bookmarkEnd w:id="4319"/>
    <w:bookmarkStart w:name="637605775" w:id="43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1369. Расстояние между единичными конденсаторами должно выбираться по условиям достаточного охлаждения конденсаторов и обеспечения изоляционных расстояний согласно ТУ (паспорта) на соответствующий тип конденсатора или конденсаторной установки.</w:t>
      </w:r>
    </w:p>
    <w:bookmarkEnd w:id="4320"/>
    <w:bookmarkStart w:name="637605776" w:id="4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1370. Указатели перегорания внешних предохранителей конденсатора должны быть доступны для осмотра при работе батареи.</w:t>
      </w:r>
    </w:p>
    <w:bookmarkEnd w:id="4321"/>
    <w:bookmarkStart w:name="637605777" w:id="43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1371. Температура окружающего конденсатор воздуха не должна выходить за верхний и нижний пределы, установленные техническими условиями на конденсаторы соответствующего типа.</w:t>
      </w:r>
    </w:p>
    <w:bookmarkEnd w:id="4322"/>
    <w:bookmarkStart w:name="637605778" w:id="4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p>
    <w:bookmarkEnd w:id="4323"/>
    <w:bookmarkStart w:name="637605779" w:id="4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1372. Для конденсаторов, устанавливаемых на открытом воздухе, должно учитываться наличие солнечного излучения. Конденсаторы на открытом воздухе устанавливается так, чтобы отрицательное воздействие на них солнечной радиации было наименьшим.</w:t>
      </w:r>
    </w:p>
    <w:bookmarkEnd w:id="4324"/>
    <w:bookmarkStart w:name="637605780" w:id="4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1373. Соединение выводов конденсаторов между собой и присоединение их к шинам должны выполняться гибкими перемычками, исключающими механическое разрушение выводов конденсатора.</w:t>
      </w:r>
    </w:p>
    <w:bookmarkEnd w:id="4325"/>
    <w:bookmarkStart w:name="637605781" w:id="4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1374.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p>
    <w:bookmarkEnd w:id="4326"/>
    <w:bookmarkStart w:name="637605782" w:id="4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1375. При наружной установке расстояние от конденсаторов, заполненных маслом, до другого оборудования, а также противопожарные расстояния от них до зданий и сооружений должны приниматься по пунктам 945 и 946 настоящих Правил.</w:t>
      </w:r>
    </w:p>
    <w:bookmarkEnd w:id="4327"/>
    <w:bookmarkStart w:name="637605783" w:id="4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1376.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p>
    <w:bookmarkEnd w:id="4328"/>
    <w:bookmarkStart w:name="637605784" w:id="43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1377.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p>
    <w:bookmarkEnd w:id="4329"/>
    <w:bookmarkStart w:name="637605785" w:id="43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1378. При разделении конденсаторной батареи на части располагаются таким образом, чтобы была обеспечена безопасность работ на каждой из частей при включенных остальных.</w:t>
      </w:r>
    </w:p>
    <w:bookmarkEnd w:id="4330"/>
    <w:bookmarkStart w:name="637605786" w:id="43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1379. На конденсаторной установке должны предусматриваться приспособления для заземления несущих металлических конструкций, которые находятся под напряжением при работе установки.</w:t>
      </w:r>
    </w:p>
    <w:bookmarkEnd w:id="4331"/>
    <w:bookmarkStart w:name="637605787" w:id="4332"/>
    <w:p>
      <w:pPr>
        <w:spacing w:before="120" w:after="120" w:line="240"/>
        <w:ind w:left="0"/>
        <w:jc w:val="center"/>
      </w:pPr>
      <w:r>
        <w:rPr>
          <w:rFonts w:hint="default" w:ascii="Times New Roman" w:hAnsi="Times New Roman"/>
          <w:b/>
          <w:i w:val="false"/>
          <w:color w:val="000000"/>
          <w:sz w:val="24"/>
        </w:rPr>
        <w:t>Раздел 5. Электрооборудование специальных установок</w:t>
      </w:r>
    </w:p>
    <w:bookmarkEnd w:id="4332"/>
    <w:bookmarkStart w:name="637605788" w:id="4333"/>
    <w:p>
      <w:pPr>
        <w:spacing w:before="120" w:after="120" w:line="240"/>
        <w:ind w:left="0"/>
        <w:jc w:val="both"/>
      </w:pPr>
      <w:r>
        <w:rPr>
          <w:rFonts w:hint="default" w:ascii="Times New Roman" w:hAnsi="Times New Roman"/>
          <w:b/>
          <w:i w:val="false"/>
          <w:color w:val="000000"/>
          <w:sz w:val="24"/>
        </w:rPr>
        <w:t>23. Электроустановки во взрывоопасных зонах</w:t>
      </w:r>
    </w:p>
    <w:bookmarkEnd w:id="4333"/>
    <w:bookmarkStart w:name="637605789" w:id="4334"/>
    <w:p>
      <w:pPr>
        <w:spacing w:before="120" w:after="120" w:line="240"/>
        <w:ind w:left="0"/>
        <w:jc w:val="center"/>
      </w:pPr>
      <w:r>
        <w:rPr>
          <w:rFonts w:hint="default" w:ascii="Times New Roman" w:hAnsi="Times New Roman"/>
          <w:b/>
          <w:i w:val="false"/>
          <w:color w:val="000000"/>
          <w:sz w:val="24"/>
        </w:rPr>
        <w:t>Параграф 1. Классификация взрывоопасных зон</w:t>
      </w:r>
    </w:p>
    <w:bookmarkEnd w:id="4334"/>
    <w:bookmarkStart w:name="637605790" w:id="4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1380. Классификация взрывоопасных зон приведена в подпунктах 130) –135) пункта 2 настоящих Правил. Класс взрывоопасной зоны,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w:t>
      </w:r>
    </w:p>
    <w:bookmarkEnd w:id="4335"/>
    <w:bookmarkStart w:name="637605791" w:id="4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1381. При определении взрывоопасных зон принимается, что:</w:t>
      </w:r>
    </w:p>
    <w:bookmarkEnd w:id="4336"/>
    <w:bookmarkStart w:name="637605792" w:id="4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взрывоопасная зона в помещении занимает весь объем помещения, если объем взрывоопасной смеси превышает 5 % свободного объема помещения;</w:t>
      </w:r>
    </w:p>
    <w:bookmarkEnd w:id="4337"/>
    <w:bookmarkStart w:name="637605793" w:id="4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взрывоопасной считается зона в помещении в пределах до 5 м по горизонтали и вертикали от технологического аппарата, из которого возможно выделение горючих газов или паров ЛВЖ, если объем взрывоопасной смеси равен или менее 5 % свободного объема помещения. Помещение за пределами взрывоопасной зоны считается невзрывоопасным, если нет других факторов, создающих в нем взрывоопасность;</w:t>
      </w:r>
    </w:p>
    <w:bookmarkEnd w:id="4338"/>
    <w:bookmarkStart w:name="637605794" w:id="4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взрывоопасная зона наружных взрывоопасных установок ограничена размерами, определяемыми в пункте 1382 настоящих Правил.</w:t>
      </w:r>
    </w:p>
    <w:bookmarkEnd w:id="4339"/>
    <w:bookmarkStart w:name="637605795" w:id="4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1382. Для наружных взрывоопасных установок взрывоопасная зона класса В-Iг считается в пределах до:</w:t>
      </w:r>
    </w:p>
    <w:bookmarkEnd w:id="4340"/>
    <w:bookmarkStart w:name="637605796" w:id="4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0,5 м по горизонтали и вертикали от проемов за наружными ограждающими конструкциями помещений со взрывоопасными зонами классов В-I, В-Iа, В-II;</w:t>
      </w:r>
    </w:p>
    <w:bookmarkEnd w:id="4341"/>
    <w:bookmarkStart w:name="637605797" w:id="4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p>
    <w:bookmarkEnd w:id="4342"/>
    <w:bookmarkStart w:name="637605798" w:id="4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p>
    <w:bookmarkEnd w:id="4343"/>
    <w:bookmarkStart w:name="637605799" w:id="4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8 м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p>
    <w:bookmarkEnd w:id="4344"/>
    <w:bookmarkStart w:name="637605800" w:id="4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20 м по горизонтали и вертикали от места открытого слива и налива для эстакад с открытым сливом и наливом ЛВЖ.</w:t>
      </w:r>
    </w:p>
    <w:bookmarkEnd w:id="4345"/>
    <w:bookmarkStart w:name="637605801" w:id="4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p>
    <w:bookmarkEnd w:id="4346"/>
    <w:bookmarkStart w:name="637605802" w:id="4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1383.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определяется в зависимости от технологических процессов, применяемых в этой среде.</w:t>
      </w:r>
    </w:p>
    <w:bookmarkEnd w:id="4347"/>
    <w:bookmarkStart w:name="637605803" w:id="4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p>
    <w:bookmarkEnd w:id="4348"/>
    <w:bookmarkStart w:name="637605804" w:id="43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1384.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 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p>
    <w:bookmarkEnd w:id="4349"/>
    <w:bookmarkStart w:name="637605805" w:id="43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Электродвигатели вентиляторов, включаемых перед началом работы котельной установки, и их пускатели, выключатели,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p>
    <w:bookmarkEnd w:id="4350"/>
    <w:bookmarkStart w:name="637605806" w:id="4351"/>
    <w:p>
      <w:pPr>
        <w:spacing w:before="120" w:after="120" w:line="240"/>
        <w:ind w:left="0"/>
        <w:jc w:val="both"/>
      </w:pPr>
      <w:r>
        <w:rPr>
          <w:rFonts w:hint="default" w:ascii="Times New Roman" w:hAnsi="Times New Roman"/>
          <w:b w:val="false"/>
          <w:i w:val="false"/>
          <w:color w:val="000000"/>
          <w:sz w:val="24"/>
        </w:rPr>
        <w:t>1385.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зона относится к взрывоопасной в пределах до 5 м по горизонтали и вертикали от открытых проемов камер, если общая площадь этих камер не превышает 200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при общей площади помещения до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или 10 %, при общей площади помещения более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4351"/>
    <w:bookmarkStart w:name="637605807" w:id="4352"/>
    <w:p>
      <w:pPr>
        <w:spacing w:before="120" w:after="120" w:line="240"/>
        <w:ind w:left="0"/>
        <w:jc w:val="both"/>
      </w:pPr>
      <w:r>
        <w:rPr>
          <w:rFonts w:hint="default" w:ascii="Times New Roman" w:hAnsi="Times New Roman"/>
          <w:b w:val="false"/>
          <w:i w:val="false"/>
          <w:color w:val="000000"/>
          <w:sz w:val="24"/>
        </w:rPr>
        <w:t>При бескамерной окраске изделий в общем технологическом потоке на открытых площадках при условии соблюдения требований зона относится к взрывоопасной в пределах до 5 м по горизонтали и вертикали от края решетки и от окрашиваемых изделий, если площадь решеток не превышает 200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при общей площади помещения до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или 10 %, при общей площади помещения более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w:t>
      </w:r>
    </w:p>
    <w:bookmarkEnd w:id="4352"/>
    <w:bookmarkStart w:name="637605808" w:id="4353"/>
    <w:p>
      <w:pPr>
        <w:spacing w:before="120" w:after="120" w:line="240"/>
        <w:ind w:left="0"/>
        <w:jc w:val="both"/>
      </w:pPr>
      <w:r>
        <w:rPr>
          <w:rFonts w:hint="default" w:ascii="Times New Roman" w:hAnsi="Times New Roman"/>
          <w:b w:val="false"/>
          <w:i w:val="false"/>
          <w:color w:val="000000"/>
          <w:sz w:val="24"/>
        </w:rPr>
        <w:t>Если общая площадь окрасочных и сушильных камер или решеток превышает 200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при общей площади помещения до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или 10 % при общей площади помещения более 2000 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размер взрывоопасной зоны определяется в зависимости от объема взрывоопасной смеси согласно пункта 1380 настоящих Правил.</w:t>
      </w:r>
    </w:p>
    <w:bookmarkEnd w:id="4353"/>
    <w:bookmarkStart w:name="637605809" w:id="4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Класс взрывоопасности зон определяется по подпункту 130) и 132) пункта 2настоящих Правил.</w:t>
      </w:r>
    </w:p>
    <w:bookmarkEnd w:id="4354"/>
    <w:bookmarkStart w:name="637605810" w:id="4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Помещение за пределами взрывоопасной зоны считается невзрывоопасным, если нет других факторов, создающих в нем взрывоопасность.</w:t>
      </w:r>
    </w:p>
    <w:bookmarkEnd w:id="4355"/>
    <w:bookmarkStart w:name="637605811" w:id="4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Зоны внутри окрасочных и сушильных камер приравнивается к зонам, расположенным внутри технологических аппаратов.</w:t>
      </w:r>
    </w:p>
    <w:bookmarkEnd w:id="4356"/>
    <w:bookmarkStart w:name="637605812" w:id="4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Требования настоящего параграфа на эти зоны не распространяются.</w:t>
      </w:r>
    </w:p>
    <w:bookmarkEnd w:id="4357"/>
    <w:bookmarkStart w:name="637605813" w:id="4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1386.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p>
    <w:bookmarkEnd w:id="4358"/>
    <w:bookmarkStart w:name="637605814" w:id="4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обслуживающих взрывоопасные зоны классов В-Iб и В-IIа, – согласно таблице 150 приложения к настоящим Правилам для этих классов.</w:t>
      </w:r>
    </w:p>
    <w:bookmarkEnd w:id="4359"/>
    <w:bookmarkStart w:name="637605815" w:id="4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1387.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p>
    <w:bookmarkEnd w:id="4360"/>
    <w:bookmarkStart w:name="637605816" w:id="4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обратных клапанов помещения приточных вентиляторов имеют взрывоопасные зоны того же класса, что и обслуживаемые ими зоны.</w:t>
      </w:r>
    </w:p>
    <w:bookmarkEnd w:id="4361"/>
    <w:bookmarkStart w:name="637605817" w:id="4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1388.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мероприятий:</w:t>
      </w:r>
    </w:p>
    <w:bookmarkEnd w:id="4362"/>
    <w:bookmarkStart w:name="637605818" w:id="4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p>
    <w:bookmarkEnd w:id="4363"/>
    <w:bookmarkStart w:name="637605819" w:id="4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нижнего концентрационного предела воспламенения, а для вредных взрывоопасных газов – также при приближении их концентрации к предельно допустимой. Количество сигнальных приборов, их расположение, а также система их резервирования должны обеспечить безотказное действие сигнализации.</w:t>
      </w:r>
    </w:p>
    <w:bookmarkEnd w:id="4364"/>
    <w:bookmarkStart w:name="637605820" w:id="4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1389. В производственных помещениях без взрывоопасной зоны, отделенных стенами (с проемами или без них) от взрывоопасной зоны смежных помещений, принимается взрывоопасная зона, класс которой определяется в соответствии с таблицей 149 приложения к настоящим Правилам, размер зоны – до 5 м по горизонтали и вертикали от проема двери.</w:t>
      </w:r>
    </w:p>
    <w:bookmarkEnd w:id="4365"/>
    <w:bookmarkStart w:name="637605821" w:id="43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Указания таблицы 149 приложения к настоящим Правилам не распространяются на РУ, ТП, ПП и установки КИПиА, размещаемые в помещениях, смежных со взрывоопасными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главой «Распределительные устройства, трансформаторные и преобразовательные подстанции».</w:t>
      </w:r>
    </w:p>
    <w:bookmarkEnd w:id="4366"/>
    <w:bookmarkStart w:name="637605822" w:id="4367"/>
    <w:p>
      <w:pPr>
        <w:spacing w:before="120" w:after="120" w:line="240"/>
        <w:ind w:left="0"/>
        <w:jc w:val="center"/>
      </w:pPr>
      <w:r>
        <w:rPr>
          <w:rFonts w:hint="default" w:ascii="Times New Roman" w:hAnsi="Times New Roman"/>
          <w:b/>
          <w:i w:val="false"/>
          <w:color w:val="000000"/>
          <w:sz w:val="24"/>
        </w:rPr>
        <w:t>Параграф 2. Выбор электрооборудования для взрывоопасных зон</w:t>
      </w:r>
    </w:p>
    <w:bookmarkEnd w:id="4367"/>
    <w:bookmarkStart w:name="637605823" w:id="4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1390. Электрооборудование, особенно с частями, искрящими при нормальной работе, выносятся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p>
    <w:bookmarkEnd w:id="4368"/>
    <w:bookmarkStart w:name="637605824" w:id="43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1391. Применение во взрывоопасных зонах переносных электроприемников (машин, аппаратов, светильников) ограничиваются случаями, когда их применение необходимо для нормальной эксплуатации.</w:t>
      </w:r>
    </w:p>
    <w:bookmarkEnd w:id="4369"/>
    <w:bookmarkStart w:name="637605825" w:id="4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1392.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p>
    <w:bookmarkEnd w:id="4370"/>
    <w:bookmarkStart w:name="637605826" w:id="43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1393.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w:t>
      </w:r>
    </w:p>
    <w:bookmarkEnd w:id="4371"/>
    <w:bookmarkStart w:name="637605827" w:id="4372"/>
    <w:p>
      <w:pPr>
        <w:spacing w:before="120" w:after="120" w:line="240"/>
        <w:ind w:left="0"/>
        <w:jc w:val="both"/>
      </w:pPr>
      <w:r>
        <w:rPr>
          <w:rFonts w:hint="default" w:ascii="Times New Roman" w:hAnsi="Times New Roman"/>
          <w:b w:val="false"/>
          <w:i w:val="false"/>
          <w:color w:val="000000"/>
          <w:sz w:val="24"/>
        </w:rPr>
        <w:t>1394.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w:t>
      </w:r>
      <w:r>
        <w:rPr>
          <w:rFonts w:hint="default" w:ascii="Times New Roman" w:hAnsi="Times New Roman"/>
          <w:b w:val="false"/>
          <w:i w:val="false"/>
          <w:color w:val="000000"/>
          <w:vertAlign w:val="subscript"/>
        </w:rPr>
        <w:t>е</w:t>
      </w:r>
      <w:r>
        <w:rPr>
          <w:rFonts w:hint="default" w:ascii="Times New Roman" w:hAnsi="Times New Roman"/>
          <w:b w:val="false"/>
          <w:i w:val="false"/>
          <w:color w:val="000000"/>
          <w:sz w:val="24"/>
        </w:rPr>
        <w:t xml:space="preserve"> Здесь t</w:t>
      </w:r>
      <w:r>
        <w:rPr>
          <w:rFonts w:hint="default" w:ascii="Times New Roman" w:hAnsi="Times New Roman"/>
          <w:b w:val="false"/>
          <w:i w:val="false"/>
          <w:color w:val="000000"/>
          <w:vertAlign w:val="subscript"/>
        </w:rPr>
        <w:t>е</w:t>
      </w:r>
      <w:r>
        <w:rPr>
          <w:rFonts w:hint="default" w:ascii="Times New Roman" w:hAnsi="Times New Roman"/>
          <w:b w:val="false"/>
          <w:i w:val="false"/>
          <w:color w:val="000000"/>
          <w:sz w:val="24"/>
        </w:rP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таблице 147 приложения к настоящим Правилам.</w:t>
      </w:r>
    </w:p>
    <w:bookmarkEnd w:id="4372"/>
    <w:bookmarkStart w:name="637605828" w:id="4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1395.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50 мм.</w:t>
      </w:r>
    </w:p>
    <w:bookmarkEnd w:id="4373"/>
    <w:bookmarkStart w:name="637605829" w:id="43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1396.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таблицах 141 и 142 приложения 1 к настоящим Правилам к менее опасным категориям и группам.</w:t>
      </w:r>
    </w:p>
    <w:bookmarkEnd w:id="4374"/>
    <w:bookmarkStart w:name="637605830" w:id="4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1397.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должны быть выполнены следующие требования:</w:t>
      </w:r>
    </w:p>
    <w:bookmarkEnd w:id="4375"/>
    <w:bookmarkStart w:name="637605831" w:id="4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p>
    <w:bookmarkEnd w:id="4376"/>
    <w:bookmarkStart w:name="637605832" w:id="4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приточные газопроводы к вентиляторам, обеспечивающим электрооборудование защитным газом, должны прокладываться вне взрывоопасных зон;</w:t>
      </w:r>
    </w:p>
    <w:bookmarkEnd w:id="4377"/>
    <w:bookmarkStart w:name="637605833" w:id="4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газопроводы для защитного газа прокладываются под полом помещений, в том числе и со взрывоопасными зонами, если приняты меры, исключающие попадание в эти газопроводы горючих жидкостей;</w:t>
      </w:r>
    </w:p>
    <w:bookmarkEnd w:id="4378"/>
    <w:bookmarkStart w:name="637605834" w:id="43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p>
    <w:bookmarkEnd w:id="4379"/>
    <w:bookmarkStart w:name="637605835" w:id="43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1398.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p>
    <w:bookmarkEnd w:id="4380"/>
    <w:bookmarkStart w:name="637605836" w:id="4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1399. Во взрывоопасных зонах классов В-II и В-IIа применяется электрооборудование, предназначенное для взрывоопасных зон со смесями горючих пылей или волокон с воздухом.</w:t>
      </w:r>
    </w:p>
    <w:bookmarkEnd w:id="4381"/>
    <w:bookmarkStart w:name="637605837" w:id="4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отсутствии такого электрооборудования допускается во взрывоопасных зонах касса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 имеющее соответствующую защиту оболочки от проникновения пыли.</w:t>
      </w:r>
    </w:p>
    <w:bookmarkEnd w:id="4382"/>
    <w:bookmarkStart w:name="637605838" w:id="4383"/>
    <w:p>
      <w:pPr>
        <w:spacing w:before="120" w:after="120" w:line="240"/>
        <w:ind w:left="0"/>
        <w:jc w:val="both"/>
      </w:pPr>
      <w:r>
        <w:rPr>
          <w:rFonts w:hint="default" w:ascii="Times New Roman" w:hAnsi="Times New Roman"/>
          <w:b w:val="false"/>
          <w:i w:val="false"/>
          <w:color w:val="000000"/>
          <w:sz w:val="24"/>
        </w:rPr>
        <w:t>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ниже температуры тления пыли для тлеющих пылей или не более двух третей температуры самовоспламенения для нетлеющих пылей.</w:t>
      </w:r>
    </w:p>
    <w:bookmarkEnd w:id="4383"/>
    <w:bookmarkStart w:name="637605839" w:id="4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1400.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Электрооборудование должно быть защищено от атмосферных воздействий.</w:t>
      </w:r>
    </w:p>
    <w:bookmarkEnd w:id="4384"/>
    <w:bookmarkStart w:name="637605840" w:id="4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1401. Выбор электрооборудования для работы во взрывоопасных зонах должен производиться по таблицах 150 и 152 приложения к настоящим Правилам.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Вместо электрооборудования уровня «повышенная надежность против взрыва» может быть установлено электрооборудование уровня «взрывобезопасное» или «особовзрывобезопасное».</w:t>
      </w:r>
    </w:p>
    <w:bookmarkEnd w:id="4385"/>
    <w:bookmarkStart w:name="637605841" w:id="4386"/>
    <w:p>
      <w:pPr>
        <w:spacing w:before="120" w:after="120" w:line="240"/>
        <w:ind w:left="0"/>
        <w:jc w:val="both"/>
      </w:pPr>
      <w:r>
        <w:rPr>
          <w:rFonts w:hint="default" w:ascii="Times New Roman" w:hAnsi="Times New Roman"/>
          <w:b w:val="false"/>
          <w:i w:val="false"/>
          <w:color w:val="000000"/>
          <w:sz w:val="24"/>
        </w:rPr>
        <w:t xml:space="preserve">В зонах, взрывоопасность которых определяется горючими жидкостями, имеющими температуру вспышки выше 61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может применяться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bookmarkEnd w:id="4386"/>
    <w:bookmarkStart w:name="637605842" w:id="4387"/>
    <w:p>
      <w:pPr>
        <w:spacing w:before="120" w:after="120" w:line="240"/>
        <w:ind w:left="0"/>
        <w:jc w:val="center"/>
      </w:pPr>
      <w:r>
        <w:rPr>
          <w:rFonts w:hint="default" w:ascii="Times New Roman" w:hAnsi="Times New Roman"/>
          <w:b/>
          <w:i w:val="false"/>
          <w:color w:val="000000"/>
          <w:sz w:val="24"/>
        </w:rPr>
        <w:t>Параграф 3. Электрические машины</w:t>
      </w:r>
    </w:p>
    <w:bookmarkEnd w:id="4387"/>
    <w:bookmarkStart w:name="637605843" w:id="4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1402. Во взрывоопасных зонах любого класса применяются электрические машины с классом напряжения до 10 кВ при условии, что уровень их взрывозащиты или степень защиты оболочки соответствуют таблице 150 приложения к настоящим Правилам или являются более высокими.</w:t>
      </w:r>
    </w:p>
    <w:bookmarkEnd w:id="4388"/>
    <w:bookmarkStart w:name="637605844" w:id="4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отдельные части машины имеют различные уровни взрывозащиты или степени защиты оболочек, то все они должны быть не ниже указанных в таблице 150 приложения к настоящим Правилам.</w:t>
      </w:r>
    </w:p>
    <w:bookmarkEnd w:id="4389"/>
    <w:bookmarkStart w:name="637605845" w:id="4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1403. Для механизмов, установленных во взрывоопасных зонах классов В-I, В-Iа и В-II, допускается применение электродвигателей без средств взрывозащиты при следующих условиях:</w:t>
      </w:r>
    </w:p>
    <w:bookmarkEnd w:id="4390"/>
    <w:bookmarkStart w:name="637605846" w:id="4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огнестойкости не менее 0,75 часов, иметь эвакуационной выход и быть обеспеченным вентиляцией с пятикратным обменом воздуха в час;</w:t>
      </w:r>
    </w:p>
    <w:bookmarkEnd w:id="4391"/>
    <w:bookmarkStart w:name="637605847" w:id="4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привод механизма должен осуществляться при помощи вала, пропущенного через стену, с устройством в ней сальникового уплотнения.</w:t>
      </w:r>
    </w:p>
    <w:bookmarkEnd w:id="4392"/>
    <w:bookmarkStart w:name="637605848" w:id="4393"/>
    <w:p>
      <w:pPr>
        <w:spacing w:before="120" w:after="120" w:line="240"/>
        <w:ind w:left="0"/>
        <w:jc w:val="center"/>
      </w:pPr>
      <w:r>
        <w:rPr>
          <w:rFonts w:hint="default" w:ascii="Times New Roman" w:hAnsi="Times New Roman"/>
          <w:b/>
          <w:i w:val="false"/>
          <w:color w:val="000000"/>
          <w:sz w:val="24"/>
        </w:rPr>
        <w:t>Параграф 4. Электрические аппараты и приборы</w:t>
      </w:r>
    </w:p>
    <w:bookmarkEnd w:id="4393"/>
    <w:bookmarkStart w:name="637605849" w:id="4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1404. Во взрывоопасных зонах применяются электрические аппараты и приборы при условии, что уровень их взрывозащиты или степень защиты оболочки соответствуют таблице 151 приложения к настоящим Правилам или являются более высокими.</w:t>
      </w:r>
    </w:p>
    <w:bookmarkEnd w:id="4394"/>
    <w:bookmarkStart w:name="637605850" w:id="43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1405. Во взрывоопасных зонах любого класса электрические соединители применяются при условии, если они удовлетворяют требованиям таблицы 151 приложения к настоящим Правилам для аппаратов, искрящих при нормальной работе.</w:t>
      </w:r>
    </w:p>
    <w:bookmarkEnd w:id="4395"/>
    <w:bookmarkStart w:name="637605851" w:id="4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взрывоопасных зонах классов В-Iб и В-IIа допускается применять соединители в оболочке со степенью защиты IР54 при условии, что разрыв у них происходит внутри закрытых розеток.</w:t>
      </w:r>
    </w:p>
    <w:bookmarkEnd w:id="4396"/>
    <w:bookmarkStart w:name="637605852" w:id="43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Установка соединителей допускается только для включения периодически работающих электроприемников.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p>
    <w:bookmarkEnd w:id="4397"/>
    <w:bookmarkStart w:name="637605853" w:id="43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Искробезопасные цепи могут коммутироваться соединителями общего назначения.</w:t>
      </w:r>
    </w:p>
    <w:bookmarkEnd w:id="4398"/>
    <w:bookmarkStart w:name="637605854" w:id="4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1406. Сборки зажимов выносятся за пределы взрывоопасной зоны. В случае технической необходимости установки сборок во взрывоопасной зоне они должны удовлетворять требованиям таблицы 151 приложения к настоящим Правилам для стационарных аппаратов, не искрящих при работе.</w:t>
      </w:r>
    </w:p>
    <w:bookmarkEnd w:id="4399"/>
    <w:bookmarkStart w:name="637605855" w:id="4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1407. Предохранители и выключатели осветительных цепей устанавливается вне взрывоопасных зон.</w:t>
      </w:r>
    </w:p>
    <w:bookmarkEnd w:id="4400"/>
    <w:bookmarkStart w:name="637605856" w:id="4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1408. При применении аппаратов и приборов с видом взрывозащиты «искробезопасная электрическая цепь» следует руководствоваться следующим:</w:t>
      </w:r>
    </w:p>
    <w:bookmarkEnd w:id="4401"/>
    <w:bookmarkStart w:name="637605857" w:id="44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w:t>
      </w:r>
    </w:p>
    <w:bookmarkEnd w:id="4402"/>
    <w:bookmarkStart w:name="637605858" w:id="4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подпункт 4) настощего пункта.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bookmarkEnd w:id="4403"/>
    <w:bookmarkStart w:name="637605859" w:id="4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p>
    <w:bookmarkEnd w:id="4404"/>
    <w:bookmarkStart w:name="637605860" w:id="4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искробезопасные цепи могут включаться серийно выпускаемые общего назначения переключатели, ключи, сборки зажимов при условии, что выполняются следующие требования:</w:t>
      </w:r>
    </w:p>
    <w:bookmarkEnd w:id="4405"/>
    <w:bookmarkStart w:name="637605861" w:id="4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ним не подключены другие, искроопасные цепи;</w:t>
      </w:r>
    </w:p>
    <w:bookmarkEnd w:id="4406"/>
    <w:bookmarkStart w:name="637605862" w:id="4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они закрыты крышкой и опломбированы;</w:t>
      </w:r>
    </w:p>
    <w:bookmarkEnd w:id="4407"/>
    <w:bookmarkStart w:name="637605863" w:id="4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их изоляция рассчитана на трехкратное номинальное напряжение искробезопасной цепи, но не менее чем на 500 В.</w:t>
      </w:r>
    </w:p>
    <w:bookmarkEnd w:id="4408"/>
    <w:bookmarkStart w:name="637605864" w:id="4409"/>
    <w:p>
      <w:pPr>
        <w:spacing w:before="120" w:after="120" w:line="240"/>
        <w:ind w:left="0"/>
        <w:jc w:val="center"/>
      </w:pPr>
      <w:r>
        <w:rPr>
          <w:rFonts w:hint="default" w:ascii="Times New Roman" w:hAnsi="Times New Roman"/>
          <w:b/>
          <w:i w:val="false"/>
          <w:color w:val="000000"/>
          <w:sz w:val="24"/>
        </w:rPr>
        <w:t>Параграф 5. Электрические грузоподъемные механизмы</w:t>
      </w:r>
    </w:p>
    <w:bookmarkEnd w:id="4409"/>
    <w:bookmarkStart w:name="637605865" w:id="4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1409. Электрооборудование кранов, талей, лифтов, находящихся во взрывоопасных зонах любого класса и участвующих в технологическом процессе, должно удовлетворять требованиям таблицах 150 и 151 приложения к настоящим Правилам для передвижных установок.</w:t>
      </w:r>
    </w:p>
    <w:bookmarkEnd w:id="4410"/>
    <w:bookmarkStart w:name="637605866" w:id="4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1410. Электрооборудование кранов, талей, лифтов, находящихся во взрывоопасных зонах и не связанных непосредственно с технологическим процессом (монтажные краны и тали), должно иметь:</w:t>
      </w:r>
    </w:p>
    <w:bookmarkEnd w:id="4411"/>
    <w:bookmarkStart w:name="637605867" w:id="44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во взрывоопасных зонах классов В-I и В-II – любой уровень взрывозащиты для соответствующих категорий и групп взрывоопасных смесей;</w:t>
      </w:r>
    </w:p>
    <w:bookmarkEnd w:id="4412"/>
    <w:bookmarkStart w:name="637605868" w:id="44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во взрывоопасных зонах классов В-Iа и В-Iб – степень защиты оболочки не менее IР33;</w:t>
      </w:r>
    </w:p>
    <w:bookmarkEnd w:id="4413"/>
    <w:bookmarkStart w:name="637605869" w:id="4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во взрывоопасных зонах классов В-IIа и В-Iг – степень защиты оболочки не менее IР44.</w:t>
      </w:r>
    </w:p>
    <w:bookmarkEnd w:id="4414"/>
    <w:bookmarkStart w:name="637605870" w:id="4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указанного электрооборудования допускается только при отсутствии взрывоопасных концентраций во время работы крана.</w:t>
      </w:r>
    </w:p>
    <w:bookmarkEnd w:id="4415"/>
    <w:bookmarkStart w:name="637605871" w:id="4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1411. Токоподводы к кранам, талям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4416"/>
    <w:bookmarkStart w:name="637605872" w:id="4417"/>
    <w:p>
      <w:pPr>
        <w:spacing w:before="120" w:after="120" w:line="240"/>
        <w:ind w:left="0"/>
        <w:jc w:val="center"/>
      </w:pPr>
      <w:r>
        <w:rPr>
          <w:rFonts w:hint="default" w:ascii="Times New Roman" w:hAnsi="Times New Roman"/>
          <w:b/>
          <w:i w:val="false"/>
          <w:color w:val="000000"/>
          <w:sz w:val="24"/>
        </w:rPr>
        <w:t>Параграф 6. Электрические светильники</w:t>
      </w:r>
    </w:p>
    <w:bookmarkEnd w:id="4417"/>
    <w:bookmarkStart w:name="637605873" w:id="4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1412. Во взрывоопасных зонах применяются электрические светильники при условии, что уровень их взрывозащиты или степень защиты соответствуют таблице 152 приложения к настоящим Правилам или являются более высокими.</w:t>
      </w:r>
    </w:p>
    <w:bookmarkEnd w:id="4418"/>
    <w:bookmarkStart w:name="637605874" w:id="4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1413.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p>
    <w:bookmarkEnd w:id="4419"/>
    <w:bookmarkStart w:name="637605875" w:id="4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p>
    <w:bookmarkEnd w:id="4420"/>
    <w:bookmarkStart w:name="637605876" w:id="44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через специально устроенные в стене ниши с двойным остеклением и вентиляцией ниш с естественным побуждением наружным воздухом;</w:t>
      </w:r>
    </w:p>
    <w:bookmarkEnd w:id="4421"/>
    <w:bookmarkStart w:name="637605877" w:id="4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через фонари специального типа со светильниками, установленными в потолке с двойным остеклением и вентиляцией фонарей с естественным побуждением наружным воздухом;</w:t>
      </w:r>
    </w:p>
    <w:bookmarkEnd w:id="4422"/>
    <w:bookmarkStart w:name="637605878" w:id="4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коробах, продуваемых под избыточным давлением чистым воздухом. В местах, где возможны поломки стекол, для застекления коробов применяется небьющееся стекло;</w:t>
      </w:r>
    </w:p>
    <w:bookmarkEnd w:id="4423"/>
    <w:bookmarkStart w:name="637605879" w:id="4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с помощью осветительных устройств с щелевыми световодами.</w:t>
      </w:r>
    </w:p>
    <w:bookmarkEnd w:id="4424"/>
    <w:bookmarkStart w:name="637605880" w:id="4425"/>
    <w:p>
      <w:pPr>
        <w:spacing w:before="120" w:after="120" w:line="240"/>
        <w:ind w:left="0"/>
        <w:jc w:val="center"/>
      </w:pPr>
      <w:r>
        <w:rPr>
          <w:rFonts w:hint="default" w:ascii="Times New Roman" w:hAnsi="Times New Roman"/>
          <w:b/>
          <w:i w:val="false"/>
          <w:color w:val="000000"/>
          <w:sz w:val="24"/>
        </w:rPr>
        <w:t>Параграф 7. Распределительные устройства, трансформаторные и преобразовательные подстанции</w:t>
      </w:r>
    </w:p>
    <w:bookmarkEnd w:id="4425"/>
    <w:bookmarkStart w:name="637605881" w:id="44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1414. РУ до 1 кВ и выше, ТП и ПП с электрооборудованием общего назначения (без средств взрывозащиты) не допускается сооружать непосредственно во взрывоопасных зонах любого класса. Они должны располагаться в отдельных помещениях, удовлетворяющих требованиям пунктов 1416 и 1423 настоящих Правил, или снаружи, вне взрывоопасных зон.</w:t>
      </w:r>
    </w:p>
    <w:bookmarkEnd w:id="4426"/>
    <w:bookmarkStart w:name="637605882" w:id="4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Одиночные колонки и шкафы управления электродвигателями с аппаратами и приборами в исполнении, предусмотренном таблицей 151 приложения к настоящим Правилам, допускается устанавливать во взрывоопасных зонах любого класса. Количество таких колонок и шкафов необходимо ограничивать.</w:t>
      </w:r>
    </w:p>
    <w:bookmarkEnd w:id="4427"/>
    <w:bookmarkStart w:name="637605883" w:id="4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 пределами взрывоопасных зон одиночные аппараты, одиночные колонки и шкафы управления применяются без средств взрывозащиты.</w:t>
      </w:r>
    </w:p>
    <w:bookmarkEnd w:id="4428"/>
    <w:bookmarkStart w:name="637605884" w:id="4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1415. Трансформаторы устанавливаются как внутри подстанции, так и снаружи здания, в котором расположена подстанция.</w:t>
      </w:r>
    </w:p>
    <w:bookmarkEnd w:id="4429"/>
    <w:bookmarkStart w:name="637605885" w:id="4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1416.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В-IIа.</w:t>
      </w:r>
    </w:p>
    <w:bookmarkEnd w:id="4430"/>
    <w:bookmarkStart w:name="637605886" w:id="4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их примыкание к взрывоопасной зоне класса В-I, а также к взрывоопасным зонам с тяжелыми или сжиженными горючими газами классов В-Iа и В-Iб.</w:t>
      </w:r>
    </w:p>
    <w:bookmarkEnd w:id="4431"/>
    <w:bookmarkStart w:name="637605887" w:id="44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1417. РУ, ТП и ПП не допускается размещать непосредственно над и под помещениями со взрывоопасными зонами любого класса.</w:t>
      </w:r>
    </w:p>
    <w:bookmarkEnd w:id="4432"/>
    <w:bookmarkStart w:name="637605888" w:id="4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1418. Окна РУ, ТП и ПП, примыкающих к взрывоопасной зоне, выполняются из стеклоблоков толщиной не менее 10 см.</w:t>
      </w:r>
    </w:p>
    <w:bookmarkEnd w:id="4433"/>
    <w:bookmarkStart w:name="637605889" w:id="4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1419. РУ, ТП (в том числе КТП) и ПП, примыкающие одной стеной к взрывоопасной зоне, выполняется при наличии взрывоопасных зон с легкими горючими газами и ЛВЖ классов В-I, В-Iа и В-Iб и при наличии взрывоопасных зон классов В-II и В-IIа.</w:t>
      </w:r>
    </w:p>
    <w:bookmarkEnd w:id="4434"/>
    <w:bookmarkStart w:name="637605890" w:id="4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1420. РУ, ТП (в том числе КТП) и ПП, питающие установки с тяжелыми или сжиженными горючими газами, сооружаются отдельно стоящими, на расстояниях от стен помещений, к которым примыкают взрывоопасные зоны классов В-I и В-Iа, и от наружных взрывоопасных установок.</w:t>
      </w:r>
    </w:p>
    <w:bookmarkEnd w:id="4435"/>
    <w:bookmarkStart w:name="637605891" w:id="44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распространяется на маслосборные ямы под трансформаторами. Должны быть также выполнены требования пункта 1421 настоящих Правил.</w:t>
      </w:r>
    </w:p>
    <w:bookmarkEnd w:id="4436"/>
    <w:bookmarkStart w:name="637605892" w:id="4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1421. РУ, ТП (в том числе КТП) и ПП, примыкающие одной и более стенами к взрывоопасной зоне, должны удовлетворять следующим требованиям:</w:t>
      </w:r>
    </w:p>
    <w:bookmarkEnd w:id="4437"/>
    <w:bookmarkStart w:name="637605893" w:id="44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w:t>
      </w:r>
    </w:p>
    <w:bookmarkEnd w:id="4438"/>
    <w:bookmarkStart w:name="637605894" w:id="4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p>
    <w:bookmarkEnd w:id="4439"/>
    <w:bookmarkStart w:name="637605895" w:id="4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Приемные устройства для наружного воздуха должны размещаться в местах, где исключено образование взрывоопасных смесей;</w:t>
      </w:r>
    </w:p>
    <w:bookmarkEnd w:id="4440"/>
    <w:bookmarkStart w:name="637605896" w:id="4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стены РУ, ТП и ПП, к которым примыкают взрывоопасные зоны, должны быть выполнены из несгораемого материала и иметь предел огнестойкости не менее 0,75 часов, быть пылегазонепроницаемыми, не иметь дверей и окон;</w:t>
      </w:r>
    </w:p>
    <w:bookmarkEnd w:id="4441"/>
    <w:bookmarkStart w:name="637605897" w:id="4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стенах РУ, ТП и ПП, к которым примыкают взрывоопасные зоны с легкими горючими газами и ЛВЖ классов В-Iа и В-Iб,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p>
    <w:bookmarkEnd w:id="4442"/>
    <w:bookmarkStart w:name="637605898" w:id="44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или через смежные стены помещений без взрывоопасных зон.</w:t>
      </w:r>
    </w:p>
    <w:bookmarkEnd w:id="4443"/>
    <w:bookmarkStart w:name="637605899" w:id="4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1422. В ТП и ПП, примыкающих одной и более стенами к взрывоопасной зоне, применяются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часов,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p>
    <w:bookmarkEnd w:id="4444"/>
    <w:bookmarkStart w:name="637605900" w:id="4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Герметичные трансформаторы с усиленным баком, без расширителя, с закрытыми вводами и выводными устройствами,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p>
    <w:bookmarkEnd w:id="4445"/>
    <w:bookmarkStart w:name="637605901" w:id="4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Выкатка трансформаторов из помещений КТП и КПП должна быть предусмотрена наружу или в смежное помещение.</w:t>
      </w:r>
    </w:p>
    <w:bookmarkEnd w:id="4446"/>
    <w:bookmarkStart w:name="637605902" w:id="4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1423. Расстояния от наружных взрывоопасных установок и стен помещений, к которым примыкают взрывоопасные зоны всех классов, за исключением классов В-Iб и В-IIа, до отдельно стоящих РУ, ТП и ПП должны приниматься по таблице 153 приложения к настоящим Правилам. Расстояния от стен помещений, к которым примыкают взрывоопасные зоны классов В-Iб и В-IIа, до отдельно стоящих РУ, ТП и ПП принимается в соответствии в зависимости от степени огнестойкости зданий и сооружений.</w:t>
      </w:r>
    </w:p>
    <w:bookmarkEnd w:id="4447"/>
    <w:bookmarkStart w:name="637605903" w:id="4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1424. В отдельно стоящих РУ, ТП и ПП, питающих электроустановки с тяжелыми или сжиженными горючими газами и расположенных за пределами расстояний, указанных в таблице 153 приложения к настоящим Правилам, не требуется выполнять подъем полов и предусматривать приточную вентиляцию с механическим побуждением.</w:t>
      </w:r>
    </w:p>
    <w:bookmarkEnd w:id="4448"/>
    <w:bookmarkStart w:name="637605904" w:id="4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1425. Если для отдельно стоящих РУ, ТП и ПП выполнены требования пунктов 1420 и 1421 настоящих Правил, при наличии тяжелых или сжиженных горючих газов или подпункта 4) пункта 1421 настоящих Правил, при наличии легких горючих газов и ЛВЖ, то такие РУ, ТП и ПП допускается располагать на любом расстоянии от взрывоопасных установок.</w:t>
      </w:r>
    </w:p>
    <w:bookmarkEnd w:id="4449"/>
    <w:bookmarkStart w:name="637605905" w:id="4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1426. Прокладывать трубопроводы с пожаро- и взрывоопасными, а также с вредными и едкими веществами через РУ, ТП и ПП не допускается.</w:t>
      </w:r>
    </w:p>
    <w:bookmarkEnd w:id="4450"/>
    <w:bookmarkStart w:name="637605906" w:id="4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1427.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p>
    <w:bookmarkEnd w:id="4451"/>
    <w:bookmarkStart w:name="637605907" w:id="4452"/>
    <w:p>
      <w:pPr>
        <w:spacing w:before="120" w:after="120" w:line="240"/>
        <w:ind w:left="0"/>
        <w:jc w:val="center"/>
      </w:pPr>
      <w:r>
        <w:rPr>
          <w:rFonts w:hint="default" w:ascii="Times New Roman" w:hAnsi="Times New Roman"/>
          <w:b/>
          <w:i w:val="false"/>
          <w:color w:val="000000"/>
          <w:sz w:val="24"/>
        </w:rPr>
        <w:t>Параграф 8. Электропроводки, токопроводы и кабельные линии</w:t>
      </w:r>
    </w:p>
    <w:bookmarkEnd w:id="4452"/>
    <w:bookmarkStart w:name="637605908" w:id="4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1428. Во взрывоопасных зонах любого класса применение неизолированных проводников, в том числе токопроводов к кранам, талям, не допускается.</w:t>
      </w:r>
    </w:p>
    <w:bookmarkEnd w:id="4453"/>
    <w:bookmarkStart w:name="637605909" w:id="44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1429. Во взрывоопасных зонах классов В-I и В-Iа должны применяться провода и кабели с медными жилами. Во взрывоопасных зонах классов В-Iб, В-Iг, В-II и В-IIа допускается применение проводов и кабелей с алюминиевыми жилами.</w:t>
      </w:r>
    </w:p>
    <w:bookmarkEnd w:id="4454"/>
    <w:bookmarkStart w:name="637605910" w:id="4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1430. Проводники силовых, осветительных и вторичных цепей в сетях до 1 кВ во взрывоопасных зонах классов В-I, В-Iа, В-II и В-IIа должны быть защищены от перегрузок и КЗ, а их сечения должны выбираться в соответствии с главой 12 настоящих Правил, но быть не менее сечения, принятого по расчетному току.</w:t>
      </w:r>
    </w:p>
    <w:bookmarkEnd w:id="4455"/>
    <w:bookmarkStart w:name="637605911" w:id="44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взрывоопасных зонах классов В-Iб и В-Iг защита проводов и кабелей и выбор сечений должны производиться как для невзрывоопасных установок.</w:t>
      </w:r>
    </w:p>
    <w:bookmarkEnd w:id="4456"/>
    <w:bookmarkStart w:name="637605912" w:id="44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1431. Провода и кабели в сетях выше 1 кВ, прокладываемые во взрывоопасных зонах любого класса, должны быть проверены по нагреву током КЗ.</w:t>
      </w:r>
    </w:p>
    <w:bookmarkEnd w:id="4457"/>
    <w:bookmarkStart w:name="637605913" w:id="4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1432. Защита питающих линий и присоединенных к ним электроприемников выше 1 кВ должна удовлетворять требованиям глав 13 и 22 настоящих Правил. Защита от перегрузок должна выполняться во всех случаях независимо от мощности электроприемника.</w:t>
      </w:r>
    </w:p>
    <w:bookmarkEnd w:id="4458"/>
    <w:bookmarkStart w:name="637605914" w:id="44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отличие от требований пунктов 1330 и 1333 настоящих Правил защита от многофазных КЗ и от перегрузки должна предусматриваться двухрелейной.</w:t>
      </w:r>
    </w:p>
    <w:bookmarkEnd w:id="4459"/>
    <w:bookmarkStart w:name="637605915" w:id="4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1433.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В-Iб и В-I4) защищены от перегрузок, а сечения их должны допускать длительную нагрузку не менее 125 % номинального тока электродвигателя.</w:t>
      </w:r>
    </w:p>
    <w:bookmarkEnd w:id="4460"/>
    <w:bookmarkStart w:name="637605916" w:id="4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1434. Для электрического освещения во взрывоопасных зонах класса В-I должны применяться двухпроводные групповые линии.</w:t>
      </w:r>
    </w:p>
    <w:bookmarkEnd w:id="4461"/>
    <w:bookmarkStart w:name="637605917" w:id="44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1435.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проводников должны применяться двухполюсные выключатели.</w:t>
      </w:r>
    </w:p>
    <w:bookmarkEnd w:id="4462"/>
    <w:bookmarkStart w:name="637605918" w:id="44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1436. Нулевые рабочие и нулевые защитные проводники должны иметь изоляцию, равноценную изоляции фазных проводников.</w:t>
      </w:r>
    </w:p>
    <w:bookmarkEnd w:id="4463"/>
    <w:bookmarkStart w:name="637605919" w:id="44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1437. Гибкий токопровод до 1 кВ во взрывоопасных зонах любого класса выполняется переносным гибким кабелем с медными жилами, с резиновой изоляцией, в резиновой маслобензиностойкой оболочке, не распространяющей горение.</w:t>
      </w:r>
    </w:p>
    <w:bookmarkEnd w:id="4464"/>
    <w:bookmarkStart w:name="637605920" w:id="4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1438. Во взрывоопасных зонах любого класса применяются:</w:t>
      </w:r>
    </w:p>
    <w:bookmarkEnd w:id="4465"/>
    <w:bookmarkStart w:name="637605921" w:id="44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провода с резиновой и поливинилхлоридной изоляцией;</w:t>
      </w:r>
    </w:p>
    <w:bookmarkEnd w:id="4466"/>
    <w:bookmarkStart w:name="637605922" w:id="4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кабели с резиновой, поливинилхлоридной и бумажной изоляцией в резиновой, поливинилхлоридной и металлической оболочках.</w:t>
      </w:r>
    </w:p>
    <w:bookmarkEnd w:id="4467"/>
    <w:bookmarkStart w:name="637605923" w:id="44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кабелей с алюминиевой оболочкой во взрывоопасных зонах классов В-I и В-Iа не допускается.</w:t>
      </w:r>
    </w:p>
    <w:bookmarkEnd w:id="4468"/>
    <w:bookmarkStart w:name="637605924" w:id="44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Применение проводов и кабелей с полиэтиленовой изоляцией или оболочкой не допускается во взрывоопасных зонах всех классов.</w:t>
      </w:r>
    </w:p>
    <w:bookmarkEnd w:id="4469"/>
    <w:bookmarkStart w:name="637605925" w:id="44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1439. Соединительные, ответвительные и проходные коробки для электропроводок должны:</w:t>
      </w:r>
    </w:p>
    <w:bookmarkEnd w:id="4470"/>
    <w:bookmarkStart w:name="637605926" w:id="44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во взрывоопасной зоне класса В-I – иметь уровень «взрывобезопасное электрооборудование» и соответствовать категории и группе взрывоопасной смеси;</w:t>
      </w:r>
    </w:p>
    <w:bookmarkEnd w:id="4471"/>
    <w:bookmarkStart w:name="637605927" w:id="44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p>
    <w:bookmarkEnd w:id="4472"/>
    <w:bookmarkStart w:name="637605928" w:id="44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во взрывоопасных зонах классов В-Iа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IР65;</w:t>
      </w:r>
    </w:p>
    <w:bookmarkEnd w:id="4473"/>
    <w:bookmarkStart w:name="637605929" w:id="44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во взрывоопасных зонах классов В-Iб и В-IIа – иметь оболочку со степенью зашиты IР54. До освоения промышленностью коробок со степенью защиты оболочки IР54 применяются коробки со степенью защиты оболочки IР44.</w:t>
      </w:r>
    </w:p>
    <w:bookmarkEnd w:id="4474"/>
    <w:bookmarkStart w:name="637605930" w:id="44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1440. Ввод проложенных в трубе проводов в машины, аппараты, светильники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p>
    <w:bookmarkEnd w:id="4475"/>
    <w:bookmarkStart w:name="637605931" w:id="44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1441.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p>
    <w:bookmarkEnd w:id="4476"/>
    <w:bookmarkStart w:name="637605932" w:id="44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взрывоопасных зонах классов В-Iб, В-II и В-IIа установка разделительных уплотнений не требуется.</w:t>
      </w:r>
    </w:p>
    <w:bookmarkEnd w:id="4477"/>
    <w:bookmarkStart w:name="637605933" w:id="44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Разделительные уплотнения устанавливаются:</w:t>
      </w:r>
    </w:p>
    <w:bookmarkEnd w:id="4478"/>
    <w:bookmarkStart w:name="637605934" w:id="44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непосредственной близости от места входа трубы во взрывоопасную зону;</w:t>
      </w:r>
    </w:p>
    <w:bookmarkEnd w:id="4479"/>
    <w:bookmarkStart w:name="637605935" w:id="44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переходе трубы из взрывоопасной зоны одного класса во взрывоопасную зону другого класса – в помещении взрывоопасной зоны более высокого класса;</w:t>
      </w:r>
    </w:p>
    <w:bookmarkEnd w:id="4480"/>
    <w:bookmarkStart w:name="637605936" w:id="44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p>
    <w:bookmarkEnd w:id="4481"/>
    <w:bookmarkStart w:name="637605937" w:id="4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p>
    <w:bookmarkEnd w:id="4482"/>
    <w:bookmarkStart w:name="637605938" w:id="4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1442. Использование соединительных и ответвительных коробок для выполнения разделительных уплотнений не допускается.</w:t>
      </w:r>
    </w:p>
    <w:bookmarkEnd w:id="4483"/>
    <w:bookmarkStart w:name="637605939" w:id="44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1443. Разделительные уплотнения, установленные в трубах электропроводки, должны испытываться избыточным давлением воздуха 250 кПа (около 2,5 ат) в течение 3 минут. При этом, допускается падение давления не более чем до 200 кПа (около 2 ат).</w:t>
      </w:r>
    </w:p>
    <w:bookmarkEnd w:id="4484"/>
    <w:bookmarkStart w:name="637605940" w:id="44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1444. Кабели, прокладываемые во взрывоопасных зонах любого класса открыто (на конструкциях, стенах, в каналах, туннелях), не должны иметь наружных покровов и покрытий из горючих материалов (джут, битум, хлопчатобумажная оплетка).</w:t>
      </w:r>
    </w:p>
    <w:bookmarkEnd w:id="4485"/>
    <w:bookmarkStart w:name="637605941" w:id="44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1445. Длину кабелей выше 1 кВ, прокладываемых во взрывоопасных зонах любого класса, необходимо ограничивать.</w:t>
      </w:r>
    </w:p>
    <w:bookmarkEnd w:id="4486"/>
    <w:bookmarkStart w:name="637605942" w:id="44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1446. При прокладке кабелей во взрывоопасных зонах классов В-I и В-Iа с тяжелыми или сжиженными горючими газами необходимо избегать устройства кабельных каналов. При необходимости устройства каналов они должны быть засыпаны пескам.</w:t>
      </w:r>
    </w:p>
    <w:bookmarkEnd w:id="4487"/>
    <w:bookmarkStart w:name="637605943" w:id="44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Допустимые длительные токи на кабели, засыпанные песком, должны приниматься по соответствующим таблицам главы 3 настоящих Правил, как для кабелей, проложенных в воздухе, с учетом поправочных коэффициентов на число работающих кабелей.</w:t>
      </w:r>
    </w:p>
    <w:bookmarkEnd w:id="4488"/>
    <w:bookmarkStart w:name="637605944" w:id="4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1447. Во взрывоопасных зонах любого класса не допускается устанавливать соединительные и ответвительные кабельные муфты, за исключением искробезопасных цепей.</w:t>
      </w:r>
    </w:p>
    <w:bookmarkEnd w:id="4489"/>
    <w:bookmarkStart w:name="637605945" w:id="4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1448. Вводы кабелей в электрические машины и аппараты должны выполняться при помощи вводных устройств. Места вводов должны быть уплотнены.</w:t>
      </w:r>
    </w:p>
    <w:bookmarkEnd w:id="4490"/>
    <w:bookmarkStart w:name="637605946" w:id="4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Ввод трубных электропроводок в машины и аппараты, имеющие вводы только для кабелей, не допускается.</w:t>
      </w:r>
    </w:p>
    <w:bookmarkEnd w:id="4491"/>
    <w:bookmarkStart w:name="637605947" w:id="44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взрывоопасных зонах классов В-Iа и В-IIа для машин большой мощности, не имеющих вводных муфт, допускается концевые заделки всех видов устанавливать в шкафах со степенью защиты IР54, расположенных в местах, доступных лишь для обслуживающего персонала, и изолированных от взрывоопасной зоны.</w:t>
      </w:r>
    </w:p>
    <w:bookmarkEnd w:id="4492"/>
    <w:bookmarkStart w:name="637605948" w:id="44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1449.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пунктов 1440 и 1442 настоящих Правил.</w:t>
      </w:r>
    </w:p>
    <w:bookmarkEnd w:id="4493"/>
    <w:bookmarkStart w:name="637605949" w:id="44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Разделительное уплотнение не ставится, если:</w:t>
      </w:r>
    </w:p>
    <w:bookmarkEnd w:id="4494"/>
    <w:bookmarkStart w:name="637605950" w:id="44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труба с кабелем выходит наружу, а кабели прокладываются далее открыто;</w:t>
      </w:r>
    </w:p>
    <w:bookmarkEnd w:id="4495"/>
    <w:bookmarkStart w:name="637605951" w:id="4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труба служит для защиты кабеля в местах возможных механических воздействий и оба конца ее находятся в пределах одной взрывоопасной зоны.</w:t>
      </w:r>
    </w:p>
    <w:bookmarkEnd w:id="4496"/>
    <w:bookmarkStart w:name="637605952" w:id="44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1450. Отверстия в стенах и в полу для прохода кабелей и труб электропроводки должны быть плотно заделаны несгораемыми материалами.</w:t>
      </w:r>
    </w:p>
    <w:bookmarkEnd w:id="4497"/>
    <w:bookmarkStart w:name="637605953" w:id="44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1451. Через взрывоопасные зоны любого класса, а также на расстояниях менее 5 м по горизонтали и вертикали от взрывоопасной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5 м по горизонтали и вертикали от взрывоопасной зоны при выполнении дополнительных защитных мероприятий, (прокладка в трубах, в закрытых коробах, в полах).</w:t>
      </w:r>
    </w:p>
    <w:bookmarkEnd w:id="4498"/>
    <w:bookmarkStart w:name="637605954" w:id="44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1452. В осветительных сетях в помещениях со взрывоопасной зоной класса В-I прокладка групповых линий не допускается. Разрешается прокладывать только ответвления от групповых линий.</w:t>
      </w:r>
    </w:p>
    <w:bookmarkEnd w:id="4499"/>
    <w:bookmarkStart w:name="637605955" w:id="45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с взрывоопасными зонами классов В-Iа, В-Iб, В-II и В-IIа групповые осветительные линии прокладываются также вне взрывоопасных зон. В случае затруднения в выполнении этой требования количество устанавливаемых во взрывоопасных зонах на этих линиях соединительных и ответвительных коробок должно быть по возможности минимальным.</w:t>
      </w:r>
    </w:p>
    <w:bookmarkEnd w:id="4500"/>
    <w:bookmarkStart w:name="637605956" w:id="45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1453.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w:t>
      </w:r>
    </w:p>
    <w:bookmarkEnd w:id="4501"/>
    <w:bookmarkStart w:name="637605957" w:id="45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искробезопасные цепи должны отделяться от других цепей с соблюдением требований;</w:t>
      </w:r>
    </w:p>
    <w:bookmarkEnd w:id="4502"/>
    <w:bookmarkStart w:name="637605958" w:id="45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использование одного кабеля для искробезопасных и искроопасных цепей не допускается;</w:t>
      </w:r>
    </w:p>
    <w:bookmarkEnd w:id="4503"/>
    <w:bookmarkStart w:name="637605959" w:id="45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провода искробезопасных цепей высокой частоты не должны иметь петель;</w:t>
      </w:r>
    </w:p>
    <w:bookmarkEnd w:id="4504"/>
    <w:bookmarkStart w:name="637605960" w:id="45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изоляция проводов искробезопасных цепей должна иметь отличительный синий цвет. Допускается маркировать синим цветом только концы проводов;</w:t>
      </w:r>
    </w:p>
    <w:bookmarkEnd w:id="4505"/>
    <w:bookmarkStart w:name="637605961" w:id="45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провода искробезопасных цепей должны быть защищены от наводок, нарушающих их искробезопасность.</w:t>
      </w:r>
    </w:p>
    <w:bookmarkEnd w:id="4506"/>
    <w:bookmarkStart w:name="637605962" w:id="45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1454. Допустимые способы прокладки кабелей и проводов во взрывоопасных зонах приведены в таблице 154 приложения к настоящим Правилам.</w:t>
      </w:r>
    </w:p>
    <w:bookmarkEnd w:id="4507"/>
    <w:bookmarkStart w:name="637605963" w:id="45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1455. Применение шинопроводов во взрывоопасных зонах классов В-I, В-Iг, В-II и В-IIа не допускается.</w:t>
      </w:r>
    </w:p>
    <w:bookmarkEnd w:id="4508"/>
    <w:bookmarkStart w:name="637605964" w:id="45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 взрывоопасных зонах классов В-Iа и В-Iб применение шинопроводов допускается при выполнении следующих условий:</w:t>
      </w:r>
    </w:p>
    <w:bookmarkEnd w:id="4509"/>
    <w:bookmarkStart w:name="637605965" w:id="45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шины должны быть изолированы;</w:t>
      </w:r>
    </w:p>
    <w:bookmarkEnd w:id="4510"/>
    <w:bookmarkStart w:name="637605966" w:id="45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во взрывоопасных зонах класса В-Iа шины должны быть медными;</w:t>
      </w:r>
    </w:p>
    <w:bookmarkEnd w:id="4511"/>
    <w:bookmarkStart w:name="637605967" w:id="45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неразъемные соединения шин должны быть выполнены сваркой или опрессовкой;</w:t>
      </w:r>
    </w:p>
    <w:bookmarkEnd w:id="4512"/>
    <w:bookmarkStart w:name="637605968" w:id="45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болтовые соединения (в местах присоединения шин к аппаратам и между секциями) должны иметь приспособления, не допускающие самоотвинчивания;</w:t>
      </w:r>
    </w:p>
    <w:bookmarkEnd w:id="4513"/>
    <w:bookmarkStart w:name="637605969" w:id="45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шинопроводы должны быть защищены металлическими кожухами, обеспечивающими степень защиты не менее IР31. Кожухи должны открываться только при помощи специальных (торцевых) ключей.</w:t>
      </w:r>
    </w:p>
    <w:bookmarkEnd w:id="4514"/>
    <w:bookmarkStart w:name="637605970" w:id="45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1456. Наружную прокладку кабелей между взрывоопасными зонами выполняются открыто (на эстакадах, тросах, по стенам зданий), избегая прокладки в подземных кабельных сооружениях (каналах, блоках, туннелях) и траншеях.</w:t>
      </w:r>
    </w:p>
    <w:bookmarkEnd w:id="4515"/>
    <w:bookmarkStart w:name="637605971" w:id="45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1457. По эстакадам с трубопроводами с горючими газами и ЛВЖ помимо кабелей, предназначенных для собственных нужд (для управления задвижками трубопроводов, сигнализации, диспетчеризации),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p>
    <w:bookmarkEnd w:id="4516"/>
    <w:bookmarkStart w:name="637605972" w:id="45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Небронированные кабели должны прокладываться в стальных водогазопроводных трубах или в стальных коробах.</w:t>
      </w:r>
    </w:p>
    <w:bookmarkEnd w:id="4517"/>
    <w:bookmarkStart w:name="637605973" w:id="45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Бронированные кабели применяются в резиновой, поливинилхлоридной и металлической оболочках, не распространяющих горение. Эти кабели выбираются без подушки. При этом, стальные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по возможности со стороны трубопроводов с негорючими веществами.</w:t>
      </w:r>
    </w:p>
    <w:bookmarkEnd w:id="4518"/>
    <w:bookmarkStart w:name="637605974" w:id="45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Строительные конструкции эстакад и галерей должны соответствовать требованиям главы 10 настоящих Правил.</w:t>
      </w:r>
    </w:p>
    <w:bookmarkEnd w:id="4519"/>
    <w:bookmarkStart w:name="637605975" w:id="45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числе кабелей более 30 прокладывается по кабельным эстакадам и галереям.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bookmarkEnd w:id="4520"/>
    <w:bookmarkStart w:name="637605976" w:id="45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1458.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p>
    <w:bookmarkEnd w:id="4521"/>
    <w:bookmarkStart w:name="637605977" w:id="45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количестве кабелей до 15 в месте пересечения допускается не сооружать кабельных эстакад, кабели прокладываются в трубном блоке или в плотно закрывающемся стальном коробе с толщиной стенки короба не менее 1,5 мм.</w:t>
      </w:r>
    </w:p>
    <w:bookmarkEnd w:id="4522"/>
    <w:bookmarkStart w:name="637605978" w:id="45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1459. Кабельные эстакады и их пересечения с эстакадами трубопроводов с горючими газами и ЛВЖ должны удовлетворять следующим требованиям:</w:t>
      </w:r>
    </w:p>
    <w:bookmarkEnd w:id="4523"/>
    <w:bookmarkStart w:name="637605979" w:id="45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все конструктивные элементы кабельных эстакад (стойки, настил, ограждения, крыша) должны сооружаться из несгораемых материалов;</w:t>
      </w:r>
    </w:p>
    <w:bookmarkEnd w:id="4524"/>
    <w:bookmarkStart w:name="637605980" w:id="45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на участке пересечения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p>
    <w:bookmarkEnd w:id="4525"/>
    <w:bookmarkStart w:name="637605981" w:id="45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10 настоящих Правил;</w:t>
      </w:r>
    </w:p>
    <w:bookmarkEnd w:id="4526"/>
    <w:bookmarkStart w:name="637605982" w:id="45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w:t>
      </w:r>
    </w:p>
    <w:bookmarkEnd w:id="4527"/>
    <w:bookmarkStart w:name="637605983" w:id="45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местах пересечения на кабелях не должны устанавливаться кабельные муфты;</w:t>
      </w:r>
    </w:p>
    <w:bookmarkEnd w:id="4528"/>
    <w:bookmarkStart w:name="637605984" w:id="45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p>
    <w:bookmarkEnd w:id="4529"/>
    <w:bookmarkStart w:name="637605985" w:id="45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1460. Наружные кабельные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p>
    <w:bookmarkEnd w:id="4530"/>
    <w:bookmarkStart w:name="637605986" w:id="45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1461. В кабельных каналах, проходящих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p>
    <w:bookmarkEnd w:id="4531"/>
    <w:bookmarkStart w:name="637605987" w:id="45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1462.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p>
    <w:bookmarkEnd w:id="4532"/>
    <w:bookmarkStart w:name="637605988" w:id="45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1463. Кабельные туннели сооружаются при выполнении следующих условий:</w:t>
      </w:r>
    </w:p>
    <w:bookmarkEnd w:id="4533"/>
    <w:bookmarkStart w:name="637605989" w:id="45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кабельные туннели прокладываются, вне взрывоопасных зон;</w:t>
      </w:r>
    </w:p>
    <w:bookmarkEnd w:id="4534"/>
    <w:bookmarkStart w:name="637605990" w:id="45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 подходе к взрывоопасным зонам кабельные туннели должны быть отделены от них несгораемой перегородкой с пределом огнестойкости 0,75 часов;</w:t>
      </w:r>
    </w:p>
    <w:bookmarkEnd w:id="4535"/>
    <w:bookmarkStart w:name="637605991" w:id="45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отверстия для кабелей и труб электропроводки, вводимых во взрывоопасную зону, должны быть плотно заделаны несгораемыми материалами;</w:t>
      </w:r>
    </w:p>
    <w:bookmarkEnd w:id="4536"/>
    <w:bookmarkStart w:name="637605992" w:id="45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кабельных туннелях должны быть выполнены противопожарные мероприятия;</w:t>
      </w:r>
    </w:p>
    <w:bookmarkEnd w:id="4537"/>
    <w:bookmarkStart w:name="637605993" w:id="45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выходы из туннеля, а также выходы вентиляционных шахт туннеля должны находиться вне взрывоопасных зон.</w:t>
      </w:r>
    </w:p>
    <w:bookmarkEnd w:id="4538"/>
    <w:bookmarkStart w:name="637605994" w:id="45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1464.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p>
    <w:bookmarkEnd w:id="4539"/>
    <w:bookmarkStart w:name="637605995" w:id="45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Прокладывать открытые токопроводы на эстакадах с трубопроводами с горючими газами и ЛВЖ и эстакадах КИПиА не допускается.</w:t>
      </w:r>
    </w:p>
    <w:bookmarkEnd w:id="4540"/>
    <w:bookmarkStart w:name="637605996" w:id="45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1465. Токопроводы до 10 кВ в оболочке со степенью защиты IР54 прокладываются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прокладываются на расстоянии не менее 0,5 м от трубопроводов, по возможности со стороны трубопроводов с негорючими веществами.</w:t>
      </w:r>
    </w:p>
    <w:bookmarkEnd w:id="4541"/>
    <w:bookmarkStart w:name="637605997" w:id="45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1466. Минимально допустимые расстояния от токопроводов до помещений со взрывоопасными зонами и до наружных взрывоопасных установок приведены в таблице 155 приложения к настоящим Правилам.</w:t>
      </w:r>
    </w:p>
    <w:bookmarkEnd w:id="4542"/>
    <w:bookmarkStart w:name="637605998" w:id="45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1467. Допустимые расстояния от кабельных эстакад до помещений со взрывоопасными зонами и до наружных взрывоопасных установок:</w:t>
      </w:r>
    </w:p>
    <w:bookmarkEnd w:id="4543"/>
    <w:bookmarkStart w:name="637605999" w:id="45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 транзитными кабелями – таблица 155 приложения к настоящим Правилам;</w:t>
      </w:r>
    </w:p>
    <w:bookmarkEnd w:id="4544"/>
    <w:bookmarkStart w:name="637606000" w:id="45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с кабелями, предназначенными только для данного производства (здания) – не нормируются.</w:t>
      </w:r>
    </w:p>
    <w:bookmarkEnd w:id="4545"/>
    <w:bookmarkStart w:name="637606001" w:id="45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Торцы ответвлений от кабельных эстакад для подвода кабелей к помещениям со взрывоопасными зонами или к наружным взрывоопасным установкам примыкаются непосредственно к стенам помещений со взрывоопасными зонами и к наружным взрывоопасным установкам.</w:t>
      </w:r>
    </w:p>
    <w:bookmarkEnd w:id="4546"/>
    <w:bookmarkStart w:name="637606002" w:id="4547"/>
    <w:p>
      <w:pPr>
        <w:spacing w:before="120" w:after="120" w:line="240"/>
        <w:ind w:left="0"/>
        <w:jc w:val="center"/>
      </w:pPr>
      <w:r>
        <w:rPr>
          <w:rFonts w:hint="default" w:ascii="Times New Roman" w:hAnsi="Times New Roman"/>
          <w:b/>
          <w:i w:val="false"/>
          <w:color w:val="000000"/>
          <w:sz w:val="24"/>
        </w:rPr>
        <w:t>Параграф 9. Зануление и заземление</w:t>
      </w:r>
    </w:p>
    <w:bookmarkEnd w:id="4547"/>
    <w:bookmarkStart w:name="637606003" w:id="45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1468. На взрывоопасные зоны любого класса в помещениях и на наружные взрывоопасные установки распространяются приведенные в подпункте 52 пункта 1 настоящих Правил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bookmarkEnd w:id="4548"/>
    <w:bookmarkStart w:name="637606004" w:id="45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1469. Во взрывоопасных зонах классов В-I, В-Iа и В-II применяется защитное отключение. Во взрывоопасных зонах любого класса должно быть выполнено уравнивание потенциалов согласно пункта 145 настоящих Правил.</w:t>
      </w:r>
    </w:p>
    <w:bookmarkEnd w:id="4549"/>
    <w:bookmarkStart w:name="637606005" w:id="45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1470. Во взрывоопасных зонах любого класса подлежат занулению (заземлению) также:</w:t>
      </w:r>
    </w:p>
    <w:bookmarkEnd w:id="4550"/>
    <w:bookmarkStart w:name="637606006" w:id="45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во изменение подпункта 64) пункта 2 настоящих Правил – электроустановки при всех напряжениях переменного и постоянного тока;</w:t>
      </w:r>
    </w:p>
    <w:bookmarkEnd w:id="4551"/>
    <w:bookmarkStart w:name="637606007" w:id="45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электрооборудование, установленное на зануленных (заземленных) металлических конструкциях, которые в соответствии с подпунктом 1) пункта 146 настоящих Правил, в невзрывоопасных зонах разрешается не занулять (не заземлять). Это требование не относится к электрооборудованию, установленному внутри зануленных (заземленных) корпусов шкафов и пультов.</w:t>
      </w:r>
    </w:p>
    <w:bookmarkEnd w:id="4552"/>
    <w:bookmarkStart w:name="637606008" w:id="45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нулевых защитных (заземляющих) проводников должны быть использованы проводники, специально предназначенные для этой цели.</w:t>
      </w:r>
    </w:p>
    <w:bookmarkEnd w:id="4553"/>
    <w:bookmarkStart w:name="637606009" w:id="45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1471. В электроустановках до 1 кВ с глухозаземленной нейтралью зануление электрооборудования должно осуществляться:</w:t>
      </w:r>
    </w:p>
    <w:bookmarkEnd w:id="4554"/>
    <w:bookmarkStart w:name="637606010" w:id="45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силовых сетях во взрывоопасных зонах любого класса – отдельной жилой кабеля или провода;</w:t>
      </w:r>
    </w:p>
    <w:bookmarkEnd w:id="4555"/>
    <w:bookmarkStart w:name="637606011" w:id="45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p>
    <w:bookmarkEnd w:id="4556"/>
    <w:bookmarkStart w:name="637606012" w:id="45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 осветительных сетях во взрывоопасной зоне класса В-I – отдельным проводником, проложенным от светильника до ближайшего группового щитка;</w:t>
      </w:r>
    </w:p>
    <w:bookmarkEnd w:id="4557"/>
    <w:bookmarkStart w:name="637606013" w:id="45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 участке сети от РУ и ТП, находящихся вне взрывоопасной зоны, до щита, сборки, распределительного пункта,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p>
    <w:bookmarkEnd w:id="4558"/>
    <w:bookmarkStart w:name="637606014" w:id="45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1472. Нулевые защитные проводники во всех звеньях сети должны быть проложены в общих оболочках, трубах, коробах, пучках с фазными проводниками.</w:t>
      </w:r>
    </w:p>
    <w:bookmarkEnd w:id="4559"/>
    <w:bookmarkStart w:name="637606015" w:id="45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1473.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p>
    <w:bookmarkEnd w:id="4560"/>
    <w:bookmarkStart w:name="637606016" w:id="45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Магистрали заземления должны быть присоединены к заземлителям в двух или более разных местах и, по возможности, с противоположных концов помещения.</w:t>
      </w:r>
    </w:p>
    <w:bookmarkEnd w:id="4561"/>
    <w:bookmarkStart w:name="637606017" w:id="45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1474.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в качестве нулевых защитных (заземляющих) проводников допускается только как дополнительное мероприятие.</w:t>
      </w:r>
    </w:p>
    <w:bookmarkEnd w:id="4562"/>
    <w:bookmarkStart w:name="637606018" w:id="45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1475. В электроустановках до 1 кВ с глухозаземленной нейтралью в целях обеспечения автоматического отключения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w:t>
      </w:r>
    </w:p>
    <w:bookmarkEnd w:id="4563"/>
    <w:bookmarkStart w:name="637606019" w:id="45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защите сетей автоматическими выключателями, имеющими только электромагнитный расцепитель (без выдержки времени), руководствоваться требованиями, касающимися кратности тока КЗ и приведенными в пункте 177 настоящих Правил.</w:t>
      </w:r>
    </w:p>
    <w:bookmarkEnd w:id="4564"/>
    <w:bookmarkStart w:name="637606020" w:id="45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1476.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 общего количества) для электроприемников, расположенных во взрывоопасных зонах классов В-Iа, В-Iб, В-Iг и В-IIа и имеющих наибольшее сопротивление петли фаза-нуль.</w:t>
      </w:r>
    </w:p>
    <w:bookmarkEnd w:id="4565"/>
    <w:bookmarkStart w:name="637606021" w:id="45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1477.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нулевых защитных (заземляющих) проводников в местах проходов не допускается.</w:t>
      </w:r>
    </w:p>
    <w:bookmarkEnd w:id="4566"/>
    <w:bookmarkStart w:name="637606022" w:id="4567"/>
    <w:p>
      <w:pPr>
        <w:spacing w:before="120" w:after="120" w:line="240"/>
        <w:ind w:left="0"/>
        <w:jc w:val="center"/>
      </w:pPr>
      <w:r>
        <w:rPr>
          <w:rFonts w:hint="default" w:ascii="Times New Roman" w:hAnsi="Times New Roman"/>
          <w:b/>
          <w:i w:val="false"/>
          <w:color w:val="000000"/>
          <w:sz w:val="24"/>
        </w:rPr>
        <w:t>Параграф 10. Молниезащита и защита от статического электричества</w:t>
      </w:r>
    </w:p>
    <w:bookmarkEnd w:id="4567"/>
    <w:bookmarkStart w:name="637606023" w:id="45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1478.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настоящими Правилами.</w:t>
      </w:r>
    </w:p>
    <w:bookmarkEnd w:id="4568"/>
    <w:bookmarkStart w:name="637606024" w:id="45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1479. Защита установок от статического электричества должна выполняться в соответствии с настоящими Правилами.</w:t>
      </w:r>
    </w:p>
    <w:bookmarkEnd w:id="4569"/>
    <w:bookmarkStart w:name="637606025" w:id="4570"/>
    <w:p>
      <w:pPr>
        <w:spacing w:before="120" w:after="120" w:line="240"/>
        <w:ind w:left="0"/>
        <w:jc w:val="both"/>
      </w:pPr>
      <w:r>
        <w:rPr>
          <w:rFonts w:hint="default" w:ascii="Times New Roman" w:hAnsi="Times New Roman"/>
          <w:b/>
          <w:i w:val="false"/>
          <w:color w:val="000000"/>
          <w:sz w:val="24"/>
        </w:rPr>
        <w:t>24. Электроустановки в пожароопасных зонах</w:t>
      </w:r>
    </w:p>
    <w:bookmarkEnd w:id="4570"/>
    <w:bookmarkStart w:name="637606026" w:id="4571"/>
    <w:p>
      <w:pPr>
        <w:spacing w:before="120" w:after="120" w:line="240"/>
        <w:ind w:left="0"/>
        <w:jc w:val="center"/>
      </w:pPr>
      <w:r>
        <w:rPr>
          <w:rFonts w:hint="default" w:ascii="Times New Roman" w:hAnsi="Times New Roman"/>
          <w:b/>
          <w:i w:val="false"/>
          <w:color w:val="000000"/>
          <w:sz w:val="24"/>
        </w:rPr>
        <w:t>Параграф 1 Определения, общие требования</w:t>
      </w:r>
    </w:p>
    <w:bookmarkEnd w:id="4571"/>
    <w:bookmarkStart w:name="637606027" w:id="45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1480.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p>
    <w:bookmarkEnd w:id="4572"/>
    <w:bookmarkStart w:name="637606028" w:id="45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Классификация пожароопасных зон приведена в пунктах 1481–1484 настоящих Правил.</w:t>
      </w:r>
    </w:p>
    <w:bookmarkEnd w:id="4573"/>
    <w:bookmarkStart w:name="637606029" w:id="4574"/>
    <w:p>
      <w:pPr>
        <w:spacing w:before="120" w:after="120" w:line="240"/>
        <w:ind w:left="0"/>
        <w:jc w:val="both"/>
      </w:pPr>
      <w:r>
        <w:rPr>
          <w:rFonts w:hint="default" w:ascii="Times New Roman" w:hAnsi="Times New Roman"/>
          <w:b w:val="false"/>
          <w:i w:val="false"/>
          <w:color w:val="000000"/>
          <w:sz w:val="24"/>
        </w:rPr>
        <w:t xml:space="preserve">1481. 3оны класса П-I – зоны, расположенные в помещениях, в которых обращаются горючие жидкости с температурой вспышки выше 61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4574"/>
    <w:bookmarkStart w:name="637606030" w:id="4575"/>
    <w:p>
      <w:pPr>
        <w:spacing w:before="120" w:after="120" w:line="240"/>
        <w:ind w:left="0"/>
        <w:jc w:val="both"/>
      </w:pPr>
      <w:r>
        <w:rPr>
          <w:b w:val="false"/>
          <w:i w:val="false"/>
          <w:color w:val="000000"/>
          <w:sz w:val="24"/>
        </w:rPr>
        <w:t> </w:t>
      </w:r>
      <w:r>
        <w:br/>
      </w:r>
      <w:r>
        <w:rPr>
          <w:b w:val="false"/>
          <w:i w:val="false"/>
          <w:color w:val="000000"/>
          <w:sz w:val="24"/>
        </w:rPr>
        <w:t>
 1482. 3оны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w:t>
      </w:r>
      <w:r>
        <w:rPr>
          <w:b w:val="false"/>
          <w:i w:val="false"/>
          <w:color w:val="000000"/>
          <w:vertAlign w:val="superscript"/>
        </w:rPr>
        <w:t>3</w:t>
      </w:r>
      <w:r>
        <w:rPr>
          <w:b w:val="false"/>
          <w:i w:val="false"/>
          <w:color w:val="000000"/>
          <w:sz w:val="24"/>
        </w:rPr>
        <w:t xml:space="preserve"> к объему воздуха.</w:t>
      </w:r>
    </w:p>
    <w:bookmarkEnd w:id="4575"/>
    <w:bookmarkStart w:name="637606031" w:id="45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1483. 3оны класса П-IIа – зоны, расположенные в помещениях, в которых обращаются твердые горючие вещества.</w:t>
      </w:r>
    </w:p>
    <w:bookmarkEnd w:id="4576"/>
    <w:bookmarkStart w:name="637606032" w:id="4577"/>
    <w:p>
      <w:pPr>
        <w:spacing w:before="120" w:after="120" w:line="240"/>
        <w:ind w:left="0"/>
        <w:jc w:val="both"/>
      </w:pPr>
      <w:r>
        <w:rPr>
          <w:rFonts w:hint="default" w:ascii="Times New Roman" w:hAnsi="Times New Roman"/>
          <w:b w:val="false"/>
          <w:i w:val="false"/>
          <w:color w:val="000000"/>
          <w:sz w:val="24"/>
        </w:rPr>
        <w:t xml:space="preserve">1484. 3оны класса П-III – расположенные вне помещения зоны, в которых обращаются горючие жидкости с температурой вспышки выше 61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или твердые горючие вещества.</w:t>
      </w:r>
    </w:p>
    <w:bookmarkEnd w:id="4577"/>
    <w:bookmarkStart w:name="637606033" w:id="45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1485. 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пыли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определяются в зависимости от технологических процессов, применяемых в этой среде.</w:t>
      </w:r>
    </w:p>
    <w:bookmarkEnd w:id="4578"/>
    <w:bookmarkStart w:name="637606034" w:id="45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p>
    <w:bookmarkEnd w:id="4579"/>
    <w:bookmarkStart w:name="637606035" w:id="45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1486.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p>
    <w:bookmarkEnd w:id="4580"/>
    <w:bookmarkStart w:name="637606036" w:id="45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Зоны в помещениях вентиляторов местных отсосов относятся к пожароопасным зонам того же класса, что и обслуживаемая ими зона.</w:t>
      </w:r>
    </w:p>
    <w:bookmarkEnd w:id="4581"/>
    <w:bookmarkStart w:name="637606037" w:id="45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вентиляторов, установленных за наружными ограждающими конструкциями и обслуживающих пожароопасные зоны класса П-II и пожароопасные зоны любого класса местных отсосов, электродвигатели выбираются как для пожароопасной зоны класса П-III.</w:t>
      </w:r>
    </w:p>
    <w:bookmarkEnd w:id="4582"/>
    <w:bookmarkStart w:name="637606038" w:id="45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1487.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p>
    <w:bookmarkEnd w:id="4583"/>
    <w:bookmarkStart w:name="637606039" w:id="45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с производствами (и складок) категории В электрооборудование должно удовлетворять, согласно требованиям главы 24 настоящих Правил к электроустановкам в пожароопасных зонах соответствующего класса.</w:t>
      </w:r>
    </w:p>
    <w:bookmarkEnd w:id="4584"/>
    <w:bookmarkStart w:name="637606040" w:id="45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1488.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пожароопасной.</w:t>
      </w:r>
    </w:p>
    <w:bookmarkEnd w:id="4585"/>
    <w:bookmarkStart w:name="637606041" w:id="45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1489.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w:t>
      </w:r>
    </w:p>
    <w:bookmarkEnd w:id="4586"/>
    <w:bookmarkStart w:name="637606042" w:id="45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1490.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bookmarkEnd w:id="4587"/>
    <w:bookmarkStart w:name="637606043" w:id="45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1491.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содержащего горючие жидкости, порошкообразные или волокнистые материалы,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bookmarkEnd w:id="4588"/>
    <w:bookmarkStart w:name="637606044" w:id="45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пожароопасных зонах любого класса должны быть предусмотрены меры для снятия статических зарядов с оборудования.</w:t>
      </w:r>
    </w:p>
    <w:bookmarkEnd w:id="4589"/>
    <w:bookmarkStart w:name="637606045" w:id="45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1492. Заземление электрооборудования в пожароопасных зонах должно выполняться в соответствии с главой 7 настоящих Правил.</w:t>
      </w:r>
    </w:p>
    <w:bookmarkEnd w:id="4590"/>
    <w:bookmarkStart w:name="637606046" w:id="4591"/>
    <w:p>
      <w:pPr>
        <w:spacing w:before="120" w:after="120" w:line="240"/>
        <w:ind w:left="0"/>
        <w:jc w:val="center"/>
      </w:pPr>
      <w:r>
        <w:rPr>
          <w:rFonts w:hint="default" w:ascii="Times New Roman" w:hAnsi="Times New Roman"/>
          <w:b/>
          <w:i w:val="false"/>
          <w:color w:val="000000"/>
          <w:sz w:val="24"/>
        </w:rPr>
        <w:t>Параграф 2. Электрические машины</w:t>
      </w:r>
    </w:p>
    <w:bookmarkEnd w:id="4591"/>
    <w:bookmarkStart w:name="637606047" w:id="45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1493. В пожароопасных зонах любого класса применяются электрические машины с классами напряжения до 10 кВ при условии, что их оболочки имеют степень защиты не менее указанной в таблице 155 приложения к настоящим Правилам.</w:t>
      </w:r>
    </w:p>
    <w:bookmarkEnd w:id="4592"/>
    <w:bookmarkStart w:name="637606048" w:id="45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пожароопасных зонах любого класса применяются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p>
    <w:bookmarkEnd w:id="4593"/>
    <w:bookmarkStart w:name="637606049" w:id="45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bookmarkEnd w:id="4594"/>
    <w:bookmarkStart w:name="637606050" w:id="45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IР44 допускается применять в пожароопасных зонах класса П-IIа машины и агрегаты со степенью защиты оболочки не менее IР20.</w:t>
      </w:r>
    </w:p>
    <w:bookmarkEnd w:id="4595"/>
    <w:bookmarkStart w:name="637606051" w:id="45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1494.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bookmarkEnd w:id="4596"/>
    <w:bookmarkStart w:name="637606052" w:id="45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1495.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IР44 допускается степень защиты оболочки IР33 при условии выполнения специальных технологических требований к ремонту оборудования в пожароопасных зонах.</w:t>
      </w:r>
    </w:p>
    <w:bookmarkEnd w:id="4597"/>
    <w:bookmarkStart w:name="637606053" w:id="45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1496. Электрические машины с частями, нормально искрящими по условиям работы, должны располагаться на расстоянии не менее 1 м от мест размещения горючих веществ или отделяться от них несгораемым экраном.</w:t>
      </w:r>
    </w:p>
    <w:bookmarkEnd w:id="4598"/>
    <w:bookmarkStart w:name="637606054" w:id="45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1497. Для механизмов, установленных в пожароопасных зонах допускается применение электродвигателей с меньшей степенью защиты оболочки, чем указано в таблице 155 приложения к настоящим Правилам, при следующих условиях:</w:t>
      </w:r>
    </w:p>
    <w:bookmarkEnd w:id="4599"/>
    <w:bookmarkStart w:name="637606055" w:id="46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электродвигатели должны устанавливаться вне пожароопасных зон;</w:t>
      </w:r>
    </w:p>
    <w:bookmarkEnd w:id="4600"/>
    <w:bookmarkStart w:name="637606056" w:id="46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привод механизма должен осуществляться при помощи вала, пропущенного через стену, с устройством в ней сальникового уплотнения.</w:t>
      </w:r>
    </w:p>
    <w:bookmarkEnd w:id="4601"/>
    <w:bookmarkStart w:name="637606057" w:id="4602"/>
    <w:p>
      <w:pPr>
        <w:spacing w:before="120" w:after="120" w:line="240"/>
        <w:ind w:left="0"/>
        <w:jc w:val="center"/>
      </w:pPr>
      <w:r>
        <w:rPr>
          <w:rFonts w:hint="default" w:ascii="Times New Roman" w:hAnsi="Times New Roman"/>
          <w:b/>
          <w:i w:val="false"/>
          <w:color w:val="000000"/>
          <w:sz w:val="24"/>
        </w:rPr>
        <w:t>Параграф 3. Электрические аппараты и приборы</w:t>
      </w:r>
    </w:p>
    <w:bookmarkEnd w:id="4602"/>
    <w:bookmarkStart w:name="637606058" w:id="46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1498. В пожароопасных зонах применяются электрические аппараты, приборы, шкафы и сборки зажимов, имеющие степень защиты оболочки не менее указанной в таблице 156 приложения к настоящим Правилам.</w:t>
      </w:r>
    </w:p>
    <w:bookmarkEnd w:id="4603"/>
    <w:bookmarkStart w:name="637606059" w:id="46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изменять степень зашиты оболочки от проникновения воды (2-я цифра обозначения) в зависимости от условий среды, в которой аппараты и приборы устанавливаются.</w:t>
      </w:r>
    </w:p>
    <w:bookmarkEnd w:id="4604"/>
    <w:bookmarkStart w:name="637606060" w:id="46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1499. Аппараты и приборы, устанавливаемые в шкафах, могут иметь меньшую степень защиты оболочки, чем указано в таблице 156 приложения к настоящим Правилам (в том числе исполнение IР00), при условии, что шкафы имеют степень защиты оболочки не ниже указанной в таблице 156 приложения для данной пожароопасной зоны.</w:t>
      </w:r>
    </w:p>
    <w:bookmarkEnd w:id="4605"/>
    <w:bookmarkStart w:name="637606061" w:id="46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1500. В пожароопасных зонах любого класса применяются аппараты, приборы, шкафы и сборки зажимов, продуваемые чистым воздухом под избыточным давлением.</w:t>
      </w:r>
    </w:p>
    <w:bookmarkEnd w:id="4606"/>
    <w:bookmarkStart w:name="637606062" w:id="46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1501. В пожароопасных зонах любого класса применяются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не допускается).</w:t>
      </w:r>
    </w:p>
    <w:bookmarkEnd w:id="4607"/>
    <w:bookmarkStart w:name="637606063" w:id="46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1502. Щитки и выключатели осветительных сетей выносятся из пожароопасных зон любого класса, если это не вызывает существенного удорожания и расхода цветных металлов.</w:t>
      </w:r>
    </w:p>
    <w:bookmarkEnd w:id="4608"/>
    <w:bookmarkStart w:name="637606064" w:id="46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p>
    <w:bookmarkEnd w:id="4609"/>
    <w:bookmarkStart w:name="637606065" w:id="46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Отключающие аппараты должны быть доступны для обслуживания в любое время суток.</w:t>
      </w:r>
    </w:p>
    <w:bookmarkEnd w:id="4610"/>
    <w:bookmarkStart w:name="637606066" w:id="46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1503.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p>
    <w:bookmarkEnd w:id="4611"/>
    <w:bookmarkStart w:name="637606067" w:id="46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пожароопасных зонах любого класса складских помещений, а также в зданиях архивов, музеев, галерей, библиотек применение электронагревательных приборов не допускается.</w:t>
      </w:r>
    </w:p>
    <w:bookmarkEnd w:id="4612"/>
    <w:bookmarkStart w:name="637606068" w:id="4613"/>
    <w:p>
      <w:pPr>
        <w:spacing w:before="120" w:after="120" w:line="240"/>
        <w:ind w:left="0"/>
        <w:jc w:val="center"/>
      </w:pPr>
      <w:r>
        <w:rPr>
          <w:rFonts w:hint="default" w:ascii="Times New Roman" w:hAnsi="Times New Roman"/>
          <w:b/>
          <w:i w:val="false"/>
          <w:color w:val="000000"/>
          <w:sz w:val="24"/>
        </w:rPr>
        <w:t>Параграф 4. Электрические грузоподъемные механизмы</w:t>
      </w:r>
    </w:p>
    <w:bookmarkEnd w:id="4613"/>
    <w:bookmarkStart w:name="637606069" w:id="46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1504. Степень защиты оболочки электрооборудования, применяемого для кранов, талей и аналогичных им механизмов, должна соответствовать таблице 155 и 157 приложения к настоящим Правилам.</w:t>
      </w:r>
    </w:p>
    <w:bookmarkEnd w:id="4614"/>
    <w:bookmarkStart w:name="637606070" w:id="46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1505. Токоподвод подъемных механизмов (кранов, талей)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bookmarkEnd w:id="4615"/>
    <w:bookmarkStart w:name="637606071" w:id="4616"/>
    <w:p>
      <w:pPr>
        <w:spacing w:before="120" w:after="120" w:line="240"/>
        <w:ind w:left="0"/>
        <w:jc w:val="center"/>
      </w:pPr>
      <w:r>
        <w:rPr>
          <w:rFonts w:hint="default" w:ascii="Times New Roman" w:hAnsi="Times New Roman"/>
          <w:b/>
          <w:i w:val="false"/>
          <w:color w:val="000000"/>
          <w:sz w:val="24"/>
        </w:rPr>
        <w:t>Параграф 5. Распределительные устройства, трансформаторные и преобразовательные подстанции</w:t>
      </w:r>
    </w:p>
    <w:bookmarkEnd w:id="4616"/>
    <w:bookmarkStart w:name="637606072" w:id="46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1506. При установке РУ в пожароопасных зонах степень защиты его элементов (шкафов) должна соответствовать таблице 156 приложения к настоящим Правилам.</w:t>
      </w:r>
    </w:p>
    <w:bookmarkEnd w:id="4617"/>
    <w:bookmarkStart w:name="637606073" w:id="46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1507.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 соответствии с главой 17 настоящих Правил.</w:t>
      </w:r>
    </w:p>
    <w:bookmarkEnd w:id="4618"/>
    <w:bookmarkStart w:name="637606074" w:id="4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размещаются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24 и пункта 1508 настоящих Правил.</w:t>
      </w:r>
    </w:p>
    <w:bookmarkEnd w:id="4619"/>
    <w:bookmarkStart w:name="637606075" w:id="46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1508. Подстанции с маслонаполненными трансформаторами могут быть встроенными или пристроенными при выполнении следующих условий:</w:t>
      </w:r>
    </w:p>
    <w:bookmarkEnd w:id="4620"/>
    <w:bookmarkStart w:name="637606076" w:id="46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двери и вентиляционные отверстия камер трансформаторов с масляным заполнением не должны выходить в пожароопасные зоны;</w:t>
      </w:r>
    </w:p>
    <w:bookmarkEnd w:id="4621"/>
    <w:bookmarkStart w:name="637606077" w:id="46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отверстия в стенах и полу в местах прохода кабелей и труб электропроводки должны быть плотно заделаны несгораемыми материалами;</w:t>
      </w:r>
    </w:p>
    <w:bookmarkEnd w:id="4622"/>
    <w:bookmarkStart w:name="637606078" w:id="46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выход из подстанции с маслонаполненными трансформаторами, установленными в камерах, в пожароопасную зону может быть выполнен только из помещения РУ до 1 кВ. При этом, дверь должна быть самозакрывающейся и иметь предел огнестойкости не менее 0,6 часов;</w:t>
      </w:r>
    </w:p>
    <w:bookmarkEnd w:id="4623"/>
    <w:bookmarkStart w:name="637606079" w:id="46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подпункте 3) настощего пункта, а ворота – с пределом огнестойкости не менее 0,6 часов;</w:t>
      </w:r>
    </w:p>
    <w:bookmarkEnd w:id="4624"/>
    <w:bookmarkStart w:name="637606080" w:id="46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РУ, ТП, ПП считаются встроенными, если имеют две или три стены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p>
    <w:bookmarkEnd w:id="4625"/>
    <w:bookmarkStart w:name="637606081" w:id="46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1509. Электрооборудование с масляным заполнением (трансформаторы, батареи конденсаторов, выключатели) может устанавливаться на расстоянии не менее 0,8 метра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метра.</w:t>
      </w:r>
    </w:p>
    <w:bookmarkEnd w:id="4626"/>
    <w:bookmarkStart w:name="637606082" w:id="4627"/>
    <w:p>
      <w:pPr>
        <w:spacing w:before="120" w:after="120" w:line="240"/>
        <w:ind w:left="0"/>
        <w:jc w:val="center"/>
      </w:pPr>
      <w:r>
        <w:rPr>
          <w:rFonts w:hint="default" w:ascii="Times New Roman" w:hAnsi="Times New Roman"/>
          <w:b/>
          <w:i w:val="false"/>
          <w:color w:val="000000"/>
          <w:sz w:val="24"/>
        </w:rPr>
        <w:t>Параграф 6. Электрические светильники</w:t>
      </w:r>
    </w:p>
    <w:bookmarkEnd w:id="4627"/>
    <w:bookmarkStart w:name="637606083" w:id="46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1510. В пожароопасных зонах должны применяться светильники, имеющие степень защиты не менее указанной в таблице 157 приложения к настоящим Правилам.</w:t>
      </w:r>
    </w:p>
    <w:bookmarkEnd w:id="4628"/>
    <w:bookmarkStart w:name="637606084" w:id="46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1511.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bookmarkEnd w:id="4629"/>
    <w:bookmarkStart w:name="637606085" w:id="46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1512.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bookmarkEnd w:id="4630"/>
    <w:bookmarkStart w:name="637606086" w:id="46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1513. Переносные светильники в пожароопасных зонах любого класса должны иметь степень защиты не менее IР54, стеклянный колпак светильника должен быть защищен металлической сеткой.</w:t>
      </w:r>
    </w:p>
    <w:bookmarkEnd w:id="4631"/>
    <w:bookmarkStart w:name="637606087" w:id="4632"/>
    <w:p>
      <w:pPr>
        <w:spacing w:before="120" w:after="120" w:line="240"/>
        <w:ind w:left="0"/>
        <w:jc w:val="center"/>
      </w:pPr>
      <w:r>
        <w:rPr>
          <w:rFonts w:hint="default" w:ascii="Times New Roman" w:hAnsi="Times New Roman"/>
          <w:b/>
          <w:i w:val="false"/>
          <w:color w:val="000000"/>
          <w:sz w:val="24"/>
        </w:rPr>
        <w:t>Параграф 7. Электропроводки, токопроводы, воздушные и кабельные линии</w:t>
      </w:r>
    </w:p>
    <w:bookmarkEnd w:id="4632"/>
    <w:bookmarkStart w:name="637606088" w:id="46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1514.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p>
    <w:bookmarkEnd w:id="4633"/>
    <w:bookmarkStart w:name="637606089" w:id="46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1515. Через пожароопасные зоны любого класса, а также на расстояниях менее 1 м по горизонтали и вертикали от пожароопасной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w:t>
      </w:r>
    </w:p>
    <w:bookmarkEnd w:id="4634"/>
    <w:bookmarkStart w:name="637606090" w:id="46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1516. В пожароопасных зонах любого класса применение неизолированных проводов не допускается.</w:t>
      </w:r>
    </w:p>
    <w:bookmarkEnd w:id="4635"/>
    <w:bookmarkStart w:name="637606091" w:id="46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1517.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до мест открыто хранимых (размещаемых) горючих веществ, должно быть не менее 1 метра.</w:t>
      </w:r>
    </w:p>
    <w:bookmarkEnd w:id="4636"/>
    <w:bookmarkStart w:name="637606092" w:id="46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p>
    <w:bookmarkEnd w:id="4637"/>
    <w:bookmarkStart w:name="637606093" w:id="46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1518. По эстакадам с трубопроводами с горючими газами и жидкостями, проходящим по территории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скальные трубы электропроводки, стальные трубы и короба с небронированными кабелями и бронированные кабели прокладываются на расстоянии не менее 0,5 м от трубопроводов, по возможности, со стороны трубопроводов с негорючими веществами.</w:t>
      </w:r>
    </w:p>
    <w:bookmarkEnd w:id="4638"/>
    <w:bookmarkStart w:name="637606094" w:id="46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1519. Для передвижных электроприемников должны применяться переносные гибкие кабели с медными жилами, с резиновой изоляцией, в оболочке, стойкой к окружающей среде.</w:t>
      </w:r>
    </w:p>
    <w:bookmarkEnd w:id="4639"/>
    <w:bookmarkStart w:name="637606095" w:id="46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1520.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IР43.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p>
    <w:bookmarkEnd w:id="4640"/>
    <w:bookmarkStart w:name="637606096" w:id="46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p>
    <w:bookmarkEnd w:id="4641"/>
    <w:bookmarkStart w:name="637606097" w:id="46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1521. В пожароопасных зонах классов П-I, П-II и П-IIа допускается применение шинопроводов до 1 кВ с медными и алюминиевыми шинами со степенью защиты IR20 и выше, при этом, в пожароопасных зонах П-I и П-II все шины, в том числе и шины ответвления, должны быть изолированными. В шинопроводах со степенью защиты IР54 и выше шины допускается не изолировать.</w:t>
      </w:r>
    </w:p>
    <w:bookmarkEnd w:id="4642"/>
    <w:bookmarkStart w:name="637606098" w:id="46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p>
    <w:bookmarkEnd w:id="4643"/>
    <w:bookmarkStart w:name="637606099" w:id="4644"/>
    <w:p>
      <w:pPr>
        <w:spacing w:before="120" w:after="120" w:line="240"/>
        <w:ind w:left="0"/>
        <w:jc w:val="both"/>
      </w:pPr>
      <w:r>
        <w:rPr>
          <w:rFonts w:hint="default" w:ascii="Times New Roman" w:hAnsi="Times New Roman"/>
          <w:b w:val="false"/>
          <w:i w:val="false"/>
          <w:color w:val="000000"/>
          <w:sz w:val="24"/>
        </w:rPr>
        <w:t xml:space="preserve">Температура всех элементов шинопроводов, включая ответвительные коробки, устанавливаемые в пожароопасных зонах класса П-I, не должна превышать 60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4644"/>
    <w:bookmarkStart w:name="637606100" w:id="46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1522.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IР44 и выше для пожароопасных зон классов П-I и П-IIа, IР54 и выше для зон класса П-II.</w:t>
      </w:r>
    </w:p>
    <w:bookmarkEnd w:id="4645"/>
    <w:bookmarkStart w:name="637606101" w:id="46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зон классов П-I и П-II должен быть обеспечен опережающий разрыв цепи ответвления в момент коммутации разъемных контактных соединений.</w:t>
      </w:r>
    </w:p>
    <w:bookmarkEnd w:id="4646"/>
    <w:bookmarkStart w:name="637606102" w:id="46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помещениях архивов, музеев, картинных галерей, библиотек, а также в пожароопасных зонах складских помещений не допускается применение разъемных контактных соединений, за исключением соединений во временных сетях при показе экспозиций.</w:t>
      </w:r>
    </w:p>
    <w:bookmarkEnd w:id="4647"/>
    <w:bookmarkStart w:name="637606103" w:id="46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1523. Расстояния от оси ВЛ до пожароопасных зон должны выбираться согласно пункту 561,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таблице 158 приложения к настоящим Правилам. Расстояние от оси ВЛ до 1 кВ до складов, перечисленных в таблице 158 приложения, должно быть не менее указанного в таблице 159 приложения, данное требование не распространяется на ВЛ наружного освещения, размещаемые на территории складов.</w:t>
      </w:r>
    </w:p>
    <w:bookmarkEnd w:id="4648"/>
    <w:bookmarkStart w:name="637606104" w:id="4649"/>
    <w:p>
      <w:pPr>
        <w:spacing w:before="120" w:after="120" w:line="240"/>
        <w:ind w:left="0"/>
        <w:jc w:val="both"/>
      </w:pPr>
      <w:r>
        <w:rPr>
          <w:rFonts w:hint="default" w:ascii="Times New Roman" w:hAnsi="Times New Roman"/>
          <w:b/>
          <w:i w:val="false"/>
          <w:color w:val="000000"/>
          <w:sz w:val="24"/>
        </w:rPr>
        <w:t>25. Электротермические установки</w:t>
      </w:r>
    </w:p>
    <w:bookmarkEnd w:id="4649"/>
    <w:bookmarkStart w:name="637606105" w:id="4650"/>
    <w:p>
      <w:pPr>
        <w:spacing w:before="120" w:after="120" w:line="240"/>
        <w:ind w:left="0"/>
        <w:jc w:val="center"/>
      </w:pPr>
      <w:r>
        <w:rPr>
          <w:rFonts w:hint="default" w:ascii="Times New Roman" w:hAnsi="Times New Roman"/>
          <w:b/>
          <w:i w:val="false"/>
          <w:color w:val="000000"/>
          <w:sz w:val="24"/>
        </w:rPr>
        <w:t>Параграф 1. Общие положения</w:t>
      </w:r>
    </w:p>
    <w:bookmarkEnd w:id="4650"/>
    <w:bookmarkStart w:name="637606106" w:id="46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1524. Электротермические установки в отношении обеспечения надежности электроснабжения, относятся к электроприемникам II и III категорий в соответствии с подпунктами 137) и 138) пункта 2 настоящих Правил.</w:t>
      </w:r>
    </w:p>
    <w:bookmarkEnd w:id="4651"/>
    <w:bookmarkStart w:name="637606107" w:id="46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Категории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стандартами, нормами и правилами требований к такому оборудованию, системам снабжения его водой, газами, сжатым воздухом, создания и поддержания в рабочих камерах давления или разрежения.</w:t>
      </w:r>
    </w:p>
    <w:bookmarkEnd w:id="4652"/>
    <w:bookmarkStart w:name="637606108" w:id="46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 III категории, относятся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bookmarkEnd w:id="4653"/>
    <w:bookmarkStart w:name="637606109" w:id="46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1525.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p>
    <w:bookmarkEnd w:id="4654"/>
    <w:bookmarkStart w:name="637606110" w:id="46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1526. Электротермические установки, в которых электрическая 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p>
    <w:bookmarkEnd w:id="4655"/>
    <w:bookmarkStart w:name="637606111" w:id="46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p>
    <w:bookmarkEnd w:id="4656"/>
    <w:bookmarkStart w:name="637606112" w:id="46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p>
    <w:bookmarkEnd w:id="4657"/>
    <w:bookmarkStart w:name="637606113" w:id="46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Печные трансформаторы (автотрансформаторы) и преобразователи,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p>
    <w:bookmarkEnd w:id="4658"/>
    <w:bookmarkStart w:name="637606114" w:id="46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1527.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равномерно распределяются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p>
    <w:bookmarkEnd w:id="4659"/>
    <w:bookmarkStart w:name="637606115" w:id="46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(к точке сети с большей мощностью КЗ), снабжается электротермическая установка симметрирующим устройством или параметрическим источником тока либо устанавливать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bookmarkEnd w:id="4660"/>
    <w:bookmarkStart w:name="637606116" w:id="46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1528.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снабжаются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p>
    <w:bookmarkEnd w:id="4661"/>
    <w:bookmarkStart w:name="637606117" w:id="46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1529. Коэффициент мощности электротермических установок, присоединяемых к электрическим сетям общего назначения, должен быть не ниже 0,98, если энергоснабжающей организацией не установлен другой норматив.</w:t>
      </w:r>
    </w:p>
    <w:bookmarkEnd w:id="4662"/>
    <w:bookmarkStart w:name="637606118" w:id="46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Электротермические установки с единичной мощностью 400 кВт и более, естественный коэффициент мощности которых ниже нормируемого значения, должны иметь индивидуальные компенсирующие устройства. Электротермические установки не допускаются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цеха)</w:t>
      </w:r>
    </w:p>
    <w:bookmarkEnd w:id="4663"/>
    <w:bookmarkStart w:name="637606119" w:id="46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1530. Для тех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выбираются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bookmarkEnd w:id="4664"/>
    <w:bookmarkStart w:name="637606120" w:id="46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установках с частыми и большими (по амплитуде) изменениями индуктивной нагрузки конденсаторы включаются параллельно с электротермическими электроприемниками, с печными трансформаторами (устройства поперечной компенсации).</w:t>
      </w:r>
    </w:p>
    <w:bookmarkEnd w:id="4665"/>
    <w:bookmarkStart w:name="637606121" w:id="46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обоснованных случаях для уменьшения колебаний напряжения, вызываемых изменениями индуктивной нагрузки, предусматривается устройства статической и динамической компенсации реактивной мощности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w:t>
      </w:r>
    </w:p>
    <w:bookmarkEnd w:id="4666"/>
    <w:bookmarkStart w:name="637606122" w:id="46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 </w:t>
      </w:r>
      <w:hyperlink r:id="rId48">
        <w:r>
          <w:rPr>
            <w:rFonts w:hint="default" w:ascii="Times New Roman" w:hAnsi="Times New Roman"/>
            <w:b w:val="false"/>
            <w:i w:val="false"/>
            <w:color w:val="007fcc"/>
            <w:sz w:val="24"/>
            <w:u w:val="single"/>
          </w:rPr>
          <w:t>УПК</w:t>
        </w:r>
      </w:hyperlink>
      <w:r>
        <w:rPr>
          <w:rFonts w:hint="default" w:ascii="Times New Roman" w:hAnsi="Times New Roman"/>
          <w:b w:val="false"/>
          <w:i w:val="false"/>
          <w:color w:val="000000"/>
          <w:sz w:val="24"/>
        </w:rPr>
        <w:t>) конденсаторов как с постоянной, так и с регулируемой емкостью конденсаторных батарей и электротермических электроприемников.</w:t>
      </w:r>
    </w:p>
    <w:bookmarkEnd w:id="4667"/>
    <w:bookmarkStart w:name="637606123" w:id="46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трансформатор конденсаторную батарею включается в цепь среднего напряжения (если при этом, обеспечивается электродинамическая стойкость оборудования).</w:t>
      </w:r>
    </w:p>
    <w:bookmarkEnd w:id="4668"/>
    <w:bookmarkStart w:name="637606124" w:id="46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1531.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w:t>
      </w:r>
    </w:p>
    <w:bookmarkEnd w:id="4669"/>
    <w:bookmarkStart w:name="637606125" w:id="46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до 1 кВ – выключатель (рубильник с дугогасящими контактами, пакетный выключатель) на вводе и предохранители или блок выключатель – предохранитель либо автоматический выключатель с электромагнитными и тепловыми расцепителями;</w:t>
      </w:r>
    </w:p>
    <w:bookmarkEnd w:id="4670"/>
    <w:bookmarkStart w:name="637606126" w:id="46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выключателя – оперативный и защитный.</w:t>
      </w:r>
    </w:p>
    <w:bookmarkEnd w:id="4671"/>
    <w:bookmarkStart w:name="637606127" w:id="46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p>
    <w:bookmarkEnd w:id="4672"/>
    <w:bookmarkStart w:name="637606128" w:id="46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bookmarkEnd w:id="4673"/>
    <w:bookmarkStart w:name="637606129" w:id="46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bookmarkEnd w:id="4674"/>
    <w:bookmarkStart w:name="637606130" w:id="46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Оперативные выключатели выше 1 кВ электротермических установок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p>
    <w:bookmarkEnd w:id="4675"/>
    <w:bookmarkStart w:name="637606131" w:id="46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Оперативно-защитные и оперативные выключатели выше 1 кВ разрешается устанавливать как на печных подстанциях, так и в цеховых (заводских)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p>
    <w:bookmarkEnd w:id="4676"/>
    <w:bookmarkStart w:name="637606132" w:id="46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1532. Выключатели выше 1 кВ, используемые в электротермических установках, должны отвечать требованиям главы 4 настоящих Правил. При этом, в электрических цепях с числом коммутационных операций в среднем 5 и более циклов включение – отключение в сутки, должны применяться специальные выключатели, обладающие повышенной механической и электрической износостойкостью.</w:t>
      </w:r>
    </w:p>
    <w:bookmarkEnd w:id="4677"/>
    <w:bookmarkStart w:name="637606133" w:id="46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электрических цепях 6–35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 их номинального значения, или в среднем не чаще 15 раз в сутки отключаются номинальные токи.</w:t>
      </w:r>
    </w:p>
    <w:bookmarkEnd w:id="4678"/>
    <w:bookmarkStart w:name="637606134" w:id="46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(за счет шунтирующих резисторов) и защите разрядниками обмоток трансформаторов и электрических цепей. Такие выключатели устанавливаются вблизи печных трансформаторов, чтобы коммутационные перенапряжения были наименьшими.</w:t>
      </w:r>
    </w:p>
    <w:bookmarkEnd w:id="4679"/>
    <w:bookmarkStart w:name="637606135" w:id="46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1533.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p>
    <w:bookmarkEnd w:id="4680"/>
    <w:bookmarkStart w:name="637606136" w:id="46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 оборудованием, содержащим масло, должны выполняться приямки, рассчитанные на полный объем масла, или маслоприемники согласно подпункта 2) пункта 979 настоящих Правил,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bookmarkEnd w:id="4681"/>
    <w:bookmarkStart w:name="637606137" w:id="46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p>
    <w:bookmarkEnd w:id="4682"/>
    <w:bookmarkStart w:name="637606138" w:id="46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1534.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w:t>
      </w:r>
    </w:p>
    <w:bookmarkEnd w:id="4683"/>
    <w:bookmarkStart w:name="637606139" w:id="46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w:t>
      </w:r>
    </w:p>
    <w:bookmarkEnd w:id="4684"/>
    <w:bookmarkStart w:name="637606140" w:id="46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исключающей возможность открывания дверей до отключения установки.</w:t>
      </w:r>
    </w:p>
    <w:bookmarkEnd w:id="4685"/>
    <w:bookmarkStart w:name="637606141" w:id="46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w:t>
      </w:r>
    </w:p>
    <w:bookmarkEnd w:id="4686"/>
    <w:bookmarkStart w:name="637606142" w:id="46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1535.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располагаются в общих электропомещениях, в электромашинных помещениях с соблюдением требований главы 19 настоящих Правил.</w:t>
      </w:r>
    </w:p>
    <w:bookmarkEnd w:id="4687"/>
    <w:bookmarkStart w:name="637606143" w:id="46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1536. Трансформаторы, преобразовательные устройства и агрегаты (двигатель-генераторные и статические-ионные и электронные, в том числе полупроводниковые устройства и ламповые генераторы) электротермических установок располагаются на минимальном расстоянии от присоединенных к ним электропечей или других электротермических устройств (аппаратов).</w:t>
      </w:r>
    </w:p>
    <w:bookmarkEnd w:id="4688"/>
    <w:bookmarkStart w:name="637606144" w:id="46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Минимальные расстояния в свету от наиболее выступающих частей печного трансформатора, расположенных на высоте до 1,9 метра от пола, до стенок трансформаторных камер при отсутствии в камерах другого оборудования принимаются:</w:t>
      </w:r>
    </w:p>
    <w:bookmarkEnd w:id="4689"/>
    <w:bookmarkStart w:name="637606145" w:id="46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до передней стенки камеры (со стороны печи или другого электротермического устройства) 0,4 метра для трансформаторов с габаритной мощностью менее 0,4 МВЧА, 0,6 метра от 0,4 до 12,5 МВЧА и 0,8 более 12,5 МВЧА;</w:t>
      </w:r>
    </w:p>
    <w:bookmarkEnd w:id="4690"/>
    <w:bookmarkStart w:name="637606146" w:id="46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 боковых и задней стенок камеры 0,8 м при габаритной мощности менее 0,4 МВЧА, 1,0 м от 0,4 до 12,5 МВЧА и 1,2 м более 12,5 МВЧА.</w:t>
      </w:r>
    </w:p>
    <w:bookmarkEnd w:id="4691"/>
    <w:bookmarkStart w:name="637606147" w:id="46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совместной установке в общей камере печных трансформаторов и другого оборудования ширину проходов и расстояния между оборудованием, а также между оборудованием и стенками камеры принимаются на 10–20 % больше, чем указано в главах 16, 17 и 20 настоящих Правил.</w:t>
      </w:r>
    </w:p>
    <w:bookmarkEnd w:id="4692"/>
    <w:bookmarkStart w:name="637606148" w:id="46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1537.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p>
    <w:bookmarkEnd w:id="4693"/>
    <w:bookmarkStart w:name="637606149" w:id="46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1538. Электротермические установки должны быть оборудованы устройствами защиты в соответствии с главами 12 и 13 настоящих Правил. Требования к защите дуговых и руднотермических печей изложены в пункте 1556 настоящих Правил, индукционных электропечей – в пункте 1564 настоящих Правил.</w:t>
      </w:r>
    </w:p>
    <w:bookmarkEnd w:id="4694"/>
    <w:bookmarkStart w:name="637606150" w:id="46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1539. Электротермическое оборудование должно, иметь автоматические регуляторы мощности или режима работы (за исключением случаев, когда это нецелесообразно но технологическим или технико-экономическим причинам).</w:t>
      </w:r>
    </w:p>
    <w:bookmarkEnd w:id="4695"/>
    <w:bookmarkStart w:name="637606151" w:id="46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установок, в которых при регулировании мощности (или для защиты от перегрузки) необходимо учитывать значение переменного тока, трансформаторы тока устанавливаются на стороне низшего напряжения.</w:t>
      </w:r>
    </w:p>
    <w:bookmarkEnd w:id="4696"/>
    <w:bookmarkStart w:name="637606152" w:id="46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используется согласующий измерительный орган.</w:t>
      </w:r>
    </w:p>
    <w:bookmarkEnd w:id="4697"/>
    <w:bookmarkStart w:name="637606153" w:id="46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1540.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w:t>
      </w:r>
    </w:p>
    <w:bookmarkEnd w:id="4698"/>
    <w:bookmarkStart w:name="637606154" w:id="46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Щиты и пульты (аппараты) управления электротермическими установками располагаются, в таких местах, в которых обеспечена возможность наблюдения за проводимыми на установках производственными операциями.</w:t>
      </w:r>
    </w:p>
    <w:bookmarkEnd w:id="4699"/>
    <w:bookmarkStart w:name="637606155" w:id="47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Направление движения рукоятки аппарата управления приводом наклона печей должно соответствовать направлению наклона.</w:t>
      </w:r>
    </w:p>
    <w:bookmarkEnd w:id="4700"/>
    <w:bookmarkStart w:name="637606156" w:id="47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электротермические установки имеют значительные габариты и обзор с пульта управления недостаточный, предусматриваются оптические, телевизионные или другие устройства для наблюдения за технологическим процессом.</w:t>
      </w:r>
    </w:p>
    <w:bookmarkEnd w:id="4701"/>
    <w:bookmarkStart w:name="637606157" w:id="47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необходимых случаях должны устанавливаться аварийные кнопки для дистанционного отключения всей установки или отдельных ее частей.</w:t>
      </w:r>
    </w:p>
    <w:bookmarkEnd w:id="4702"/>
    <w:bookmarkStart w:name="637606158" w:id="47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1541.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в установках с единичной мощностью 0,4 МВт и более предусматривается также сигнализацию положений вводных коммутационных аппаратов.</w:t>
      </w:r>
    </w:p>
    <w:bookmarkEnd w:id="4703"/>
    <w:bookmarkStart w:name="637606159" w:id="47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1542. При выборе сечений токопроводов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p>
    <w:bookmarkEnd w:id="4704"/>
    <w:bookmarkStart w:name="637606160" w:id="47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Конструкция этих токопроводов (в частности, вторичных токопроводов – «коротких сетей» электропечей) должна обеспечивать:</w:t>
      </w:r>
    </w:p>
    <w:bookmarkEnd w:id="4705"/>
    <w:bookmarkStart w:name="637606161" w:id="47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оптимальные реактивное и активное сопротивления;</w:t>
      </w:r>
    </w:p>
    <w:bookmarkEnd w:id="4706"/>
    <w:bookmarkStart w:name="637606162" w:id="47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рациональное распределение тока в проводниках;</w:t>
      </w:r>
    </w:p>
    <w:bookmarkEnd w:id="4707"/>
    <w:bookmarkStart w:name="637606163" w:id="47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p>
    <w:bookmarkEnd w:id="4708"/>
    <w:bookmarkStart w:name="637606164" w:id="47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ограничение потерь электроэнергии в металлических креплениях шин, конструкциях установок и строительных элементах зданий.</w:t>
      </w:r>
    </w:p>
    <w:bookmarkEnd w:id="4709"/>
    <w:bookmarkStart w:name="637606165" w:id="47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не должно быть замкнутых металлических контуров. Если этого избежать нельзя, применяются немагнитные и маломагнитные материалы и проверять расчетом потери в них и температуру их нагрева.</w:t>
      </w:r>
    </w:p>
    <w:bookmarkEnd w:id="4710"/>
    <w:bookmarkStart w:name="637606166" w:id="47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токопроводов переменного тока с частотой 2,4 кГц крепящие детали из магнитных материалов не применяются,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p>
    <w:bookmarkEnd w:id="4711"/>
    <w:bookmarkStart w:name="637606167" w:id="4712"/>
    <w:p>
      <w:pPr>
        <w:spacing w:before="120" w:after="120" w:line="240"/>
        <w:ind w:left="0"/>
        <w:jc w:val="both"/>
      </w:pPr>
      <w:r>
        <w:rPr>
          <w:rFonts w:hint="default" w:ascii="Times New Roman" w:hAnsi="Times New Roman"/>
          <w:b w:val="false"/>
          <w:i w:val="false"/>
          <w:color w:val="000000"/>
          <w:sz w:val="24"/>
        </w:rPr>
        <w:t xml:space="preserve">Температура шин и контактных соединений с учетом нагрева электрическим током и внешними тепловыми излучениями, не должна превышать 90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в реконструируемых установках для вторичных токоподводов допускается для шин медных температура 140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для алюминиевых 120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при этом, соединения шин выполняются сварными.</w:t>
      </w:r>
    </w:p>
    <w:bookmarkEnd w:id="4712"/>
    <w:bookmarkStart w:name="637606168" w:id="47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необходимых случаях предусматривается принудительное воздушное или водяное охлаждение.</w:t>
      </w:r>
    </w:p>
    <w:bookmarkEnd w:id="4713"/>
    <w:bookmarkStart w:name="637606169" w:id="47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1543.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применяются шины из алюминия или из алюминиевого сплава (прямоугольного или трубчатого сечения).</w:t>
      </w:r>
    </w:p>
    <w:bookmarkEnd w:id="4714"/>
    <w:bookmarkStart w:name="637606170" w:id="47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жестких токопроводов вторичных токоподводов установок электропечей с ударной нагрузкой, в частности, сталеплавильных и чугуноплавильных дуговых печей, применяются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многополюсных шин выполняется шихтованным с параллельными чередующимися цепями различных фаз или прямого и обратного направлений тока.</w:t>
      </w:r>
    </w:p>
    <w:bookmarkEnd w:id="4715"/>
    <w:bookmarkStart w:name="637606171" w:id="47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жестких однофазных токопроводов повышенной – средней частоты применяется шихтованные и коаксиальные шинопроводы.</w:t>
      </w:r>
    </w:p>
    <w:bookmarkEnd w:id="4716"/>
    <w:bookmarkStart w:name="637606172" w:id="47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обоснованных случаях допускается изготовление жестких токопроводов – вторичных токоподводов из меди.</w:t>
      </w:r>
    </w:p>
    <w:bookmarkEnd w:id="4717"/>
    <w:bookmarkStart w:name="637606173" w:id="47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Гибкий токопровод к подвижным элементам электропечей выполняются гибкими медными кабелями или гибкими медными лентами.</w:t>
      </w:r>
    </w:p>
    <w:bookmarkEnd w:id="4718"/>
    <w:bookmarkStart w:name="637606174" w:id="47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гибких токопроводов на токи 6 кА и более промышленной частоты и на любые токи повышенной – средней и высокой частот применяются водоохлаждаемые гибкие кабели.</w:t>
      </w:r>
    </w:p>
    <w:bookmarkEnd w:id="4719"/>
    <w:bookmarkStart w:name="637606175" w:id="47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p>
    <w:bookmarkEnd w:id="4720"/>
    <w:bookmarkStart w:name="637606176" w:id="47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1544. Допустимые длительные токи промышленной частоты токопроводов из шихтованного пакета прямоугольных шин приведены в таблице 160–163 приложения к настоящим Правилам, однофазные токи повышенной – средней частоты токопроводов из двух прямоугольных шин – в таблице 164 и 165 приложения, токопроводов из двух концентрических труб – в таблицах 166 и 167 приложения, кабелей марки АСГ – в таблице 168 приложения.</w:t>
      </w:r>
    </w:p>
    <w:bookmarkEnd w:id="4721"/>
    <w:bookmarkStart w:name="637606177" w:id="4722"/>
    <w:p>
      <w:pPr>
        <w:spacing w:before="120" w:after="120" w:line="240"/>
        <w:ind w:left="0"/>
        <w:jc w:val="both"/>
      </w:pPr>
      <w:r>
        <w:rPr>
          <w:rFonts w:hint="default" w:ascii="Times New Roman" w:hAnsi="Times New Roman"/>
          <w:b w:val="false"/>
          <w:i w:val="false"/>
          <w:color w:val="000000"/>
          <w:sz w:val="24"/>
        </w:rPr>
        <w:t xml:space="preserve">Токи в таблицах приняты исходя из температуры окружающего воздуха 25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прямоугольных шин 70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внутренней трубы 75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 жил кабелей 80 </w:t>
      </w:r>
      <w:r>
        <w:rPr>
          <w:rFonts w:hint="default" w:ascii="Times New Roman" w:hAnsi="Times New Roman"/>
          <w:b w:val="false"/>
          <w:i w:val="false"/>
          <w:color w:val="000000"/>
          <w:vertAlign w:val="superscript"/>
        </w:rPr>
        <w:t>0</w:t>
      </w:r>
      <w:r>
        <w:rPr>
          <w:rFonts w:hint="default" w:ascii="Times New Roman" w:hAnsi="Times New Roman"/>
          <w:b w:val="false"/>
          <w:i w:val="false"/>
          <w:color w:val="000000"/>
          <w:sz w:val="24"/>
        </w:rPr>
        <w:t xml:space="preserve"> С.</w:t>
      </w:r>
    </w:p>
    <w:bookmarkEnd w:id="4722"/>
    <w:bookmarkStart w:name="637606178" w:id="4723"/>
    <w:p>
      <w:pPr>
        <w:spacing w:before="120" w:after="120" w:line="240"/>
        <w:ind w:left="0"/>
        <w:jc w:val="both"/>
      </w:pPr>
      <w:r>
        <w:rPr>
          <w:rFonts w:hint="default" w:ascii="Times New Roman" w:hAnsi="Times New Roman"/>
          <w:b w:val="false"/>
          <w:i w:val="false"/>
          <w:color w:val="000000"/>
          <w:sz w:val="24"/>
        </w:rPr>
        <w:t>Допускается плотность тока в водоохлаждаемых жестких и гибких токопроводах промышленной частоты: алюминиевых и из алюминиевых сплавов до 6 А/мм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медных до 8 А/мм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p>
    <w:bookmarkEnd w:id="4723"/>
    <w:bookmarkStart w:name="637606179" w:id="47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1545.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p>
    <w:bookmarkEnd w:id="4724"/>
    <w:bookmarkStart w:name="637606180" w:id="47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1546.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применяются колодки или плиты (листы) из непропитанного асбестоцемента, напряжением выше 1 кВ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bookmarkEnd w:id="4725"/>
    <w:bookmarkStart w:name="637606181" w:id="47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применяется гнутый профиль П-образного сечения из листовой немагнитной стали. Допускается также применение сварного профиля и силуминовых деталей (кроме сжимов для тяжелых многополосных пакетов).</w:t>
      </w:r>
    </w:p>
    <w:bookmarkEnd w:id="4726"/>
    <w:bookmarkStart w:name="637606182" w:id="47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сжима применяются болты и шпильки из немагнитных хромоникелевых, медноцинковых (латунь) и других сплавов.</w:t>
      </w:r>
    </w:p>
    <w:bookmarkEnd w:id="4727"/>
    <w:bookmarkStart w:name="637606183" w:id="47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 изоляторов,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p>
    <w:bookmarkEnd w:id="4728"/>
    <w:bookmarkStart w:name="637606184" w:id="47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таблице 168 приложения к настоящим Правилам, если в стандартах или технических условиях на отдельные виды (типы) электропечей или электротермических устройств не указаны другие значения.</w:t>
      </w:r>
    </w:p>
    <w:bookmarkEnd w:id="4729"/>
    <w:bookmarkStart w:name="637606185" w:id="47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дополнительной меры по повышению надежности работы и обеспечению нормируемого значения сопротивления изоляции допускается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p>
    <w:bookmarkEnd w:id="4730"/>
    <w:bookmarkStart w:name="637606186" w:id="47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1547.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таблице 168 приложения к настоящим Правилам.</w:t>
      </w:r>
    </w:p>
    <w:bookmarkEnd w:id="4731"/>
    <w:bookmarkStart w:name="637606187" w:id="47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1548.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bookmarkEnd w:id="4732"/>
    <w:bookmarkStart w:name="637606188" w:id="47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1549.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p>
    <w:bookmarkEnd w:id="4733"/>
    <w:bookmarkStart w:name="637606189" w:id="47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Устанавливаются следующие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p>
    <w:bookmarkEnd w:id="4734"/>
    <w:bookmarkStart w:name="637606190" w:id="47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исходятся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p>
    <w:bookmarkEnd w:id="4735"/>
    <w:bookmarkStart w:name="637606191" w:id="4736"/>
    <w:p>
      <w:pPr>
        <w:spacing w:before="120" w:after="120" w:line="240"/>
        <w:ind w:left="0"/>
        <w:jc w:val="both"/>
      </w:pPr>
      <w:r>
        <w:rPr>
          <w:rFonts w:hint="default" w:ascii="Times New Roman" w:hAnsi="Times New Roman"/>
          <w:b w:val="false"/>
          <w:i w:val="false"/>
          <w:color w:val="000000"/>
          <w:sz w:val="24"/>
        </w:rPr>
        <w:t>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и минимальное 0,2 МПа (2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при качестве воды, отвечающем требованиям настоящих Правилам.</w:t>
      </w:r>
    </w:p>
    <w:bookmarkEnd w:id="4736"/>
    <w:bookmarkStart w:name="637606192" w:id="47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Предусматривается повторное использование охлаждающей воды на другие технологические нужды с устройством водосбора и перекачки.</w:t>
      </w:r>
    </w:p>
    <w:bookmarkEnd w:id="4737"/>
    <w:bookmarkStart w:name="637606193" w:id="47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электротермических установках, для охлаждения элементов которых используется вода из сети оборотного водоснабжения, предусматриваются механические фильтры для снижения содержания в воде взвешенных частиц.</w:t>
      </w:r>
    </w:p>
    <w:bookmarkEnd w:id="4738"/>
    <w:bookmarkStart w:name="637606194" w:id="47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выборе индивидуальной замкнутой системы водоохлаждения предусматривается схема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bookmarkEnd w:id="4739"/>
    <w:bookmarkStart w:name="637606195" w:id="47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применении групповой замкнутой системы водоохлаждения устанавливается одна или двух резервных насосов с автоматическим включением резерва.</w:t>
      </w:r>
    </w:p>
    <w:bookmarkEnd w:id="4740"/>
    <w:bookmarkStart w:name="637606196" w:id="47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1550.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p>
    <w:bookmarkEnd w:id="4741"/>
    <w:bookmarkStart w:name="637606197" w:id="47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длина принимается равной, при:</w:t>
      </w:r>
    </w:p>
    <w:bookmarkEnd w:id="4742"/>
    <w:bookmarkStart w:name="637606198" w:id="47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номинальном напряжении до 1 кВ не менее 1,5 м;</w:t>
      </w:r>
    </w:p>
    <w:bookmarkEnd w:id="4743"/>
    <w:bookmarkStart w:name="637606199" w:id="47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внутреннем диаметре шлангов до 25 мм и 2,5 м;</w:t>
      </w:r>
    </w:p>
    <w:bookmarkEnd w:id="4744"/>
    <w:bookmarkStart w:name="637606200" w:id="47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диаметре от 25 и до 50 мм, при номинальном напряжении выше 1 кВ – 2,5 и 4 м соответственно.</w:t>
      </w:r>
    </w:p>
    <w:bookmarkEnd w:id="4745"/>
    <w:bookmarkStart w:name="637606201" w:id="47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Длина шлангов не нормируется, если между шлангом и сточной трубой имеется разрыв и струя воды свободно падает в воронку.</w:t>
      </w:r>
    </w:p>
    <w:bookmarkEnd w:id="4746"/>
    <w:bookmarkStart w:name="637606202" w:id="47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1551.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p>
    <w:bookmarkEnd w:id="4747"/>
    <w:bookmarkStart w:name="637606203" w:id="47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1552. Насосно-аккумуляторные и маслонапорные установки систем гидропривода электротермического оборудования, содержащие 60 кг масла и более, должны располагаться в помещениях, в которых обеспечивается аварийное удаление масла.</w:t>
      </w:r>
    </w:p>
    <w:bookmarkEnd w:id="4748"/>
    <w:bookmarkStart w:name="637606204" w:id="4749"/>
    <w:p>
      <w:pPr>
        <w:spacing w:before="120" w:after="120" w:line="240"/>
        <w:ind w:left="0"/>
        <w:jc w:val="both"/>
      </w:pPr>
      <w:r>
        <w:rPr>
          <w:rFonts w:hint="default" w:ascii="Times New Roman" w:hAnsi="Times New Roman"/>
          <w:b w:val="false"/>
          <w:i w:val="false"/>
          <w:color w:val="000000"/>
          <w:sz w:val="24"/>
        </w:rPr>
        <w:t>1553. Применяемые в электротермических установках сосуды, работающие под давлением выше 70 кПа (0,7 кгс/см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 устройства, использующие сжатые газы, а также компрессорные установки должны отвечать требованиям настоящих Правил.</w:t>
      </w:r>
    </w:p>
    <w:bookmarkEnd w:id="4749"/>
    <w:bookmarkStart w:name="637606205" w:id="47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1554. Газы из выхлопа вакуумных насосов предварительного разрежения, должны удаляться наружу, выпуск этих газов в производственные и другие подобные помещения не допускается.</w:t>
      </w:r>
    </w:p>
    <w:bookmarkEnd w:id="4750"/>
    <w:bookmarkStart w:name="637606206" w:id="4751"/>
    <w:p>
      <w:pPr>
        <w:spacing w:before="120" w:after="120" w:line="240"/>
        <w:ind w:left="0"/>
        <w:jc w:val="center"/>
      </w:pPr>
      <w:r>
        <w:rPr>
          <w:rFonts w:hint="default" w:ascii="Times New Roman" w:hAnsi="Times New Roman"/>
          <w:b/>
          <w:i w:val="false"/>
          <w:color w:val="000000"/>
          <w:sz w:val="24"/>
        </w:rPr>
        <w:t>Параграф 2. Установки дуговых печей прямого, косвенного и комбинированного действия (руднотермические и ферросплавные)</w:t>
      </w:r>
    </w:p>
    <w:bookmarkEnd w:id="4751"/>
    <w:bookmarkStart w:name="637606207" w:id="47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1555. Печные трансформаторы дуговых сталеплавильных печей присоединяются к электрическим сетям общего назначения без выполнения специальных расчетов на колебания напряжения, если соблюдается следующее условие:</w:t>
      </w:r>
    </w:p>
    <w:bookmarkEnd w:id="4752"/>
    <w:bookmarkStart w:name="637606208" w:id="4753"/>
    <w:p>
      <w:pPr>
        <w:spacing w:before="120" w:after="120" w:line="240"/>
        <w:ind w:left="0"/>
        <w:jc w:val="center"/>
      </w:pPr>
      <w:r>
        <w:drawing>
          <wp:inline distT="0" distB="0" distL="0" distR="0">
            <wp:extent cx="1714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714500" cy="609600"/>
                    </a:xfrm>
                    <a:prstGeom prst="rect">
                      <a:avLst/>
                    </a:prstGeom>
                  </pic:spPr>
                </pic:pic>
              </a:graphicData>
            </a:graphic>
          </wp:inline>
        </w:drawing>
      </w:r>
    </w:p>
    <w:bookmarkEnd w:id="4753"/>
    <w:bookmarkStart w:name="637606209" w:id="4754"/>
    <w:p>
      <w:pPr>
        <w:spacing w:before="120" w:after="120" w:line="240"/>
        <w:ind w:left="0"/>
        <w:jc w:val="both"/>
      </w:pPr>
      <w:r>
        <w:rPr>
          <w:b w:val="false"/>
          <w:i w:val="false"/>
          <w:color w:val="000000"/>
          <w:sz w:val="24"/>
        </w:rPr>
        <w:t> </w:t>
      </w:r>
      <w:r>
        <w:br/>
      </w:r>
      <w:r>
        <w:rPr>
          <w:b w:val="false"/>
          <w:i w:val="false"/>
          <w:color w:val="000000"/>
          <w:sz w:val="24"/>
        </w:rPr>
        <w:t>
 где S</w:t>
      </w:r>
      <w:r>
        <w:rPr>
          <w:b w:val="false"/>
          <w:i w:val="false"/>
          <w:color w:val="000000"/>
          <w:vertAlign w:val="subscript"/>
        </w:rPr>
        <w:t>Тi</w:t>
      </w:r>
      <w:r>
        <w:rPr>
          <w:b w:val="false"/>
          <w:i w:val="false"/>
          <w:color w:val="000000"/>
          <w:sz w:val="24"/>
        </w:rPr>
        <w:t xml:space="preserve"> – номинальная мощность печного трансформатора, МВЧА, S</w:t>
      </w:r>
      <w:r>
        <w:rPr>
          <w:b w:val="false"/>
          <w:i w:val="false"/>
          <w:color w:val="000000"/>
          <w:vertAlign w:val="subscript"/>
        </w:rPr>
        <w:t>К</w:t>
      </w:r>
      <w:r>
        <w:rPr>
          <w:b w:val="false"/>
          <w:i w:val="false"/>
          <w:color w:val="000000"/>
          <w:sz w:val="24"/>
        </w:rPr>
        <w:t xml:space="preserve"> – мощность КЗ «в общей точке» (в месте присоединения установки дуговых печей к электрическим сетям общего назначения), МВЧА, n – число присоединяемых установок дуговых печей.</w:t>
      </w:r>
    </w:p>
    <w:bookmarkEnd w:id="4754"/>
    <w:bookmarkStart w:name="637606210" w:id="47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p>
    <w:bookmarkEnd w:id="4755"/>
    <w:bookmarkStart w:name="637606211" w:id="47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требования стандарта не выдерживаются, присоединяются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выбор варианта – согласно технико-экономическому обоснованию.</w:t>
      </w:r>
    </w:p>
    <w:bookmarkEnd w:id="4756"/>
    <w:bookmarkStart w:name="637606212" w:id="47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1556. На установках дуговых печей, где могут происходить эксплуатационные КЗ, должны приниматься меры по ограничению вызываемых ими толчков тока.</w:t>
      </w:r>
    </w:p>
    <w:bookmarkEnd w:id="4757"/>
    <w:bookmarkStart w:name="637606213" w:id="47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установках дуговых сталеплавильных печей толчки тока эксплуатационных КЗ не должны превышать 3,5-кратного значения номинального тока.</w:t>
      </w:r>
    </w:p>
    <w:bookmarkEnd w:id="4758"/>
    <w:bookmarkStart w:name="637606214" w:id="47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p>
    <w:bookmarkEnd w:id="4759"/>
    <w:bookmarkStart w:name="637606215" w:id="47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1557. Для печных трансформаторов (печных трансформаторных агрегатов) установок дуговых печей должны быть предусмотрены следующие виды защиты:</w:t>
      </w:r>
    </w:p>
    <w:bookmarkEnd w:id="4760"/>
    <w:bookmarkStart w:name="637606216" w:id="47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p>
    <w:bookmarkEnd w:id="4761"/>
    <w:bookmarkStart w:name="637606217" w:id="47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защита от перегрузки трансформатора.</w:t>
      </w:r>
    </w:p>
    <w:bookmarkEnd w:id="4762"/>
    <w:bookmarkStart w:name="637606218" w:id="47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выполнения этой защиты должны применяться максимальные токовые реле, в установках дуговых сталеплавильных печей используются реле с ограниченно-зависимой характеристикой.</w:t>
      </w:r>
    </w:p>
    <w:bookmarkEnd w:id="4763"/>
    <w:bookmarkStart w:name="637606219" w:id="47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p>
    <w:bookmarkEnd w:id="4764"/>
    <w:bookmarkStart w:name="637606220" w:id="47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пункта 649 настоящих Правил;</w:t>
      </w:r>
    </w:p>
    <w:bookmarkEnd w:id="4765"/>
    <w:bookmarkStart w:name="637606221" w:id="47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защита от однофазных замыканий на землю, если это требуется по условиям работы сети с большими токами замыкания на землю;</w:t>
      </w:r>
    </w:p>
    <w:bookmarkEnd w:id="4766"/>
    <w:bookmarkStart w:name="637606222" w:id="47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температурные указатели с действием на сигнал по достижении максимально допустимой температуры и на отключение при ее превышении;</w:t>
      </w:r>
    </w:p>
    <w:bookmarkEnd w:id="4767"/>
    <w:bookmarkStart w:name="637606223" w:id="47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p>
    <w:bookmarkEnd w:id="4768"/>
    <w:bookmarkStart w:name="637606224" w:id="47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1558. Установки дуговых печей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bookmarkEnd w:id="4769"/>
    <w:bookmarkStart w:name="637606225" w:id="47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Амперметры должны иметь соответствующие перегрузочные шкалы.</w:t>
      </w:r>
    </w:p>
    <w:bookmarkEnd w:id="4770"/>
    <w:bookmarkStart w:name="637606226" w:id="47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устанавливаются приборы, регистрирующие 30-минутный максимум нагрузки.</w:t>
      </w:r>
    </w:p>
    <w:bookmarkEnd w:id="4771"/>
    <w:bookmarkStart w:name="637606227" w:id="47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1559.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w:t>
      </w:r>
    </w:p>
    <w:bookmarkEnd w:id="4772"/>
    <w:bookmarkStart w:name="637606228" w:id="47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1560.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предусматривается установка между электродами постоянных разделительных изолирующих щитов.</w:t>
      </w:r>
    </w:p>
    <w:bookmarkEnd w:id="4773"/>
    <w:bookmarkStart w:name="637606229" w:id="4774"/>
    <w:p>
      <w:pPr>
        <w:spacing w:before="120" w:after="120" w:line="240"/>
        <w:ind w:left="0"/>
        <w:jc w:val="center"/>
      </w:pPr>
      <w:r>
        <w:rPr>
          <w:rFonts w:hint="default" w:ascii="Times New Roman" w:hAnsi="Times New Roman"/>
          <w:b/>
          <w:i w:val="false"/>
          <w:color w:val="000000"/>
          <w:sz w:val="24"/>
        </w:rPr>
        <w:t>Параграф 3. Установки индукционные и диэлектрического нагрева</w:t>
      </w:r>
    </w:p>
    <w:bookmarkEnd w:id="4774"/>
    <w:bookmarkStart w:name="637606230" w:id="47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1561.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может устанавливаться в отдельных помещениях и непосредственно в цехе в технологическом потоке производства категорий Г и Д.</w:t>
      </w:r>
    </w:p>
    <w:bookmarkEnd w:id="4775"/>
    <w:bookmarkStart w:name="637606231" w:id="47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1562.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разделяются на две части – постоянно включенную и регулируемую.</w:t>
      </w:r>
    </w:p>
    <w:bookmarkEnd w:id="4776"/>
    <w:bookmarkStart w:name="637606232" w:id="47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1563.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p>
    <w:bookmarkEnd w:id="4777"/>
    <w:bookmarkStart w:name="637606233" w:id="47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1564. Применение кабелей со стальной броней и прокладка проводов в стальных трубах для цепей с повышенной – средней частотой до 10 кГц допускаются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p>
    <w:bookmarkEnd w:id="4778"/>
    <w:bookmarkStart w:name="637606234" w:id="47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p>
    <w:bookmarkEnd w:id="4779"/>
    <w:bookmarkStart w:name="637606235" w:id="47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1565.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используется устройство электрической защиты с действием на сигнал или отключение.</w:t>
      </w:r>
    </w:p>
    <w:bookmarkEnd w:id="4780"/>
    <w:bookmarkStart w:name="637606236" w:id="47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1566.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bookmarkEnd w:id="4781"/>
    <w:bookmarkStart w:name="637606237" w:id="47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улучшения загрузки по времени генераторов повышенной – средней и высокой частот применяется режим «ожидания» там, где это допускается по условиям технологии.</w:t>
      </w:r>
    </w:p>
    <w:bookmarkEnd w:id="4782"/>
    <w:bookmarkStart w:name="637606238" w:id="47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1567.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значений.</w:t>
      </w:r>
    </w:p>
    <w:bookmarkEnd w:id="4783"/>
    <w:bookmarkStart w:name="637606239" w:id="47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1568.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bookmarkEnd w:id="4784"/>
    <w:bookmarkStart w:name="637606240" w:id="47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1569.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bookmarkEnd w:id="4785"/>
    <w:bookmarkStart w:name="637606241" w:id="47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1570.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bookmarkEnd w:id="4786"/>
    <w:bookmarkStart w:name="637606242" w:id="47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1571. Двигатель-генераторные преобразователи частоты, производящие шум выше 80 дБ, должны быть установлены в электромашинных помещениях, которые обеспечивают снижение шума до допускаемых уровней.</w:t>
      </w:r>
    </w:p>
    <w:bookmarkEnd w:id="4787"/>
    <w:bookmarkStart w:name="637606243" w:id="47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уменьшения вибрации двигатель-генераторов применяется виброгасящие устройства, обеспечивающие выполнение требования санитарных норм к уровню вибрации.</w:t>
      </w:r>
    </w:p>
    <w:bookmarkEnd w:id="4788"/>
    <w:bookmarkStart w:name="637606244" w:id="4789"/>
    <w:p>
      <w:pPr>
        <w:spacing w:before="120" w:after="120" w:line="240"/>
        <w:ind w:left="0"/>
        <w:jc w:val="center"/>
      </w:pPr>
      <w:r>
        <w:rPr>
          <w:rFonts w:hint="default" w:ascii="Times New Roman" w:hAnsi="Times New Roman"/>
          <w:b/>
          <w:i w:val="false"/>
          <w:color w:val="000000"/>
          <w:sz w:val="24"/>
        </w:rPr>
        <w:t>Параграф 4. Установка электропечей (электротермических устройств) сопротивления прямого и косвенного действия</w:t>
      </w:r>
    </w:p>
    <w:bookmarkEnd w:id="4789"/>
    <w:bookmarkStart w:name="637606245" w:id="47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1572.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p>
    <w:bookmarkEnd w:id="4790"/>
    <w:bookmarkStart w:name="637606246" w:id="47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Установки электротермических устройств сопротивления прямого действия присоединяются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p>
    <w:bookmarkEnd w:id="4791"/>
    <w:bookmarkStart w:name="637606247" w:id="47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1573.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главы 15 настоящих Правил.</w:t>
      </w:r>
    </w:p>
    <w:bookmarkEnd w:id="4792"/>
    <w:bookmarkStart w:name="637606248" w:id="47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Допускается устанавливать две электропечи рядом без прохода между ними, если по условиям эксплуатации в нем нет необходимости.</w:t>
      </w:r>
    </w:p>
    <w:bookmarkEnd w:id="4793"/>
    <w:bookmarkStart w:name="637606249" w:id="47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1574. Электрические аппараты силовых цепей и пирометрические приборы устанавливается на раздельных щитах. На приборы не должны воздействовать вибрации и удары при работе коммутационных аппаратов.</w:t>
      </w:r>
    </w:p>
    <w:bookmarkEnd w:id="4794"/>
    <w:bookmarkStart w:name="637606250" w:id="47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КИПиА).</w:t>
      </w:r>
    </w:p>
    <w:bookmarkEnd w:id="4795"/>
    <w:bookmarkStart w:name="637606251" w:id="47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случаях, если производственные помещения являются пыльными, влажными или сырыми устанавливаются панели щитов КИПиА в отдельных помещениях.</w:t>
      </w:r>
    </w:p>
    <w:bookmarkEnd w:id="4796"/>
    <w:bookmarkStart w:name="637606252" w:id="47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w:t>
      </w:r>
    </w:p>
    <w:bookmarkEnd w:id="4797"/>
    <w:bookmarkStart w:name="637606253" w:id="47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1575.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p>
    <w:bookmarkEnd w:id="4798"/>
    <w:bookmarkStart w:name="637606254" w:id="47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1576. Провода пирометрических цепей присоединяется к приборам непосредственно, не заводя их на сборки зажимов щитов управления.</w:t>
      </w:r>
    </w:p>
    <w:bookmarkEnd w:id="4799"/>
    <w:bookmarkStart w:name="637606255" w:id="48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p>
    <w:bookmarkEnd w:id="4800"/>
    <w:bookmarkStart w:name="637606256" w:id="48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1577. Оконцевание проводов и кабелей, присоединяемых непосредственно к нагревателям электропечей, выполняется опрессовкой наконечников, зажимными контактными соединениями, сваркой или пайкой твердым припоем.</w:t>
      </w:r>
    </w:p>
    <w:bookmarkEnd w:id="4801"/>
    <w:bookmarkStart w:name="637606257" w:id="48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1578. В установках электропечей сопротивления мощностью 100 кВт и более устанавливается амперметры по одному на каждую зону нагрева. Для электропечей с керамическими нагревателями устанавливаются амперметры на каждую фазу.</w:t>
      </w:r>
    </w:p>
    <w:bookmarkEnd w:id="4802"/>
    <w:bookmarkStart w:name="637606258" w:id="48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1579. Для установок электропечей сопротивления мощностью 100 кВт и более предусматривается установка счетчиков активной энергии (по одному на электропечь).</w:t>
      </w:r>
    </w:p>
    <w:bookmarkEnd w:id="4803"/>
    <w:bookmarkStart w:name="637606259" w:id="48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1580.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применяется блокировка, при которой открывание загрузочных окон возможно лишь при отключенной электропечи.</w:t>
      </w:r>
    </w:p>
    <w:bookmarkEnd w:id="4804"/>
    <w:bookmarkStart w:name="637606260" w:id="48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1581. В установках прямого нагрева, работающих при напряжении выше 42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Кроме того, такие установки должны снабжаться устройством контроля изоляции с действием на сигнал.</w:t>
      </w:r>
    </w:p>
    <w:bookmarkEnd w:id="4805"/>
    <w:bookmarkStart w:name="637606261" w:id="48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1582. При применении в установках прямого нагрева жидкостных контактов, выделяющих токсичные или резкопахнущие пары или возгоны, должны быть обеспече ны герметичность контактных узлов и надежное улавливание паров и возгонов.</w:t>
      </w:r>
    </w:p>
    <w:bookmarkEnd w:id="4806"/>
    <w:bookmarkStart w:name="637606262" w:id="48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1583. Ток утечки в установках прямого нагрева должен составлять не более 0,2 % номинального тока установки.</w:t>
      </w:r>
    </w:p>
    <w:bookmarkEnd w:id="4807"/>
    <w:bookmarkStart w:name="637606263" w:id="4808"/>
    <w:p>
      <w:pPr>
        <w:spacing w:before="120" w:after="120" w:line="240"/>
        <w:ind w:left="0"/>
        <w:jc w:val="center"/>
      </w:pPr>
      <w:r>
        <w:rPr>
          <w:rFonts w:hint="default" w:ascii="Times New Roman" w:hAnsi="Times New Roman"/>
          <w:b/>
          <w:i w:val="false"/>
          <w:color w:val="000000"/>
          <w:sz w:val="24"/>
        </w:rPr>
        <w:t>Параграф 5. Электронно-лучевые установки</w:t>
      </w:r>
    </w:p>
    <w:bookmarkEnd w:id="4808"/>
    <w:bookmarkStart w:name="637606264" w:id="48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1584. Преобразовательные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p>
    <w:bookmarkEnd w:id="4809"/>
    <w:bookmarkStart w:name="637606265" w:id="48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1585.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p>
    <w:bookmarkEnd w:id="4810"/>
    <w:bookmarkStart w:name="637606266" w:id="48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p>
    <w:bookmarkEnd w:id="4811"/>
    <w:bookmarkStart w:name="637606267" w:id="4812"/>
    <w:p>
      <w:pPr>
        <w:spacing w:before="120" w:after="120" w:line="240"/>
        <w:ind w:left="0"/>
        <w:jc w:val="right"/>
      </w:pPr>
      <w:r>
        <w:rPr>
          <w:rFonts w:hint="default" w:ascii="Times New Roman" w:hAnsi="Times New Roman"/>
          <w:b/>
          <w:i w:val="false"/>
          <w:color w:val="000000"/>
          <w:sz w:val="24"/>
        </w:rPr>
        <w:t>Приложение</w:t>
      </w:r>
      <w:r>
        <w:br/>
      </w:r>
      <w:r>
        <w:rPr>
          <w:rFonts w:hint="default" w:ascii="Times New Roman" w:hAnsi="Times New Roman"/>
          <w:b/>
          <w:i w:val="false"/>
          <w:color w:val="000000"/>
          <w:sz w:val="24"/>
        </w:rPr>
        <w:t>
к Правилам устройства электроустановок</w:t>
      </w:r>
    </w:p>
    <w:bookmarkEnd w:id="4812"/>
    <w:bookmarkStart w:name="637606268" w:id="4813"/>
    <w:p>
      <w:pPr>
        <w:spacing w:before="120" w:after="120" w:line="240"/>
        <w:ind w:left="0"/>
        <w:jc w:val="both"/>
      </w:pPr>
      <w:r>
        <w:rPr>
          <w:rFonts w:hint="default" w:ascii="Times New Roman" w:hAnsi="Times New Roman"/>
          <w:b/>
          <w:i w:val="false"/>
          <w:color w:val="000000"/>
          <w:sz w:val="24"/>
        </w:rPr>
        <w:t>Допустимая кратковременная перегрузка для кабелей напряжением до 10 кВ с бумажной пропитанной изоляцией</w:t>
      </w:r>
    </w:p>
    <w:bookmarkEnd w:id="4813"/>
    <w:bookmarkStart w:name="637606269" w:id="481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w:t>
      </w:r>
    </w:p>
    <w:bookmarkEnd w:id="4814"/>
    <w:bookmarkStart w:name="637606270" w:id="4815"/>
    <w:tbl>
      <w:tblPr>
        <w:tblW w:w="18660" w:type="auto"/>
        <w:tblCellSpacing w:w="0" w:type="auto"/>
        <w:tblBorders>
          <w:top w:val="none"/>
          <w:left w:val="none"/>
          <w:bottom w:val="none"/>
          <w:right w:val="none"/>
          <w:insideH w:val="none"/>
          <w:insideV w:val="none"/>
        </w:tblBorders>
        <w:tblLayout/>
      </w:tblPr>
      <w:tblGrid>
        <w:gridCol w:w="3506"/>
        <w:gridCol w:w="4139"/>
        <w:gridCol w:w="2685"/>
        <w:gridCol w:w="2685"/>
        <w:gridCol w:w="2985"/>
      </w:tblGrid>
      <w:tr>
        <w:trPr>
          <w:trHeight w:val="30" w:hRule="atLeast"/>
        </w:trPr>
        <w:tc>
          <w:tcPr>
            <w:tcW w:w="350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предварительной нагрузки</w:t>
            </w:r>
          </w:p>
        </w:tc>
        <w:tc>
          <w:tcPr>
            <w:tcW w:w="413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прокладки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Допустимая перегрузка по отношению</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 номинальной в течение, ч.</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9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35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0,6</w:t>
            </w:r>
          </w:p>
        </w:tc>
        <w:tc>
          <w:tcPr>
            <w:tcW w:w="41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воздухе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трубах (в земле)</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29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r>
      <w:tr>
        <w:trPr>
          <w:trHeight w:val="30" w:hRule="atLeast"/>
        </w:trPr>
        <w:tc>
          <w:tcPr>
            <w:tcW w:w="35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w:t>
            </w:r>
          </w:p>
        </w:tc>
        <w:tc>
          <w:tcPr>
            <w:tcW w:w="41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воздухе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трубах (в земле)</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1,05</w:t>
            </w:r>
          </w:p>
        </w:tc>
        <w:tc>
          <w:tcPr>
            <w:tcW w:w="29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r>
    </w:tbl>
    <w:bookmarkEnd w:id="4815"/>
    <w:bookmarkStart w:name="637606271" w:id="4816"/>
    <w:p>
      <w:pPr>
        <w:spacing w:before="120" w:after="120" w:line="240"/>
        <w:ind w:left="0"/>
        <w:jc w:val="both"/>
      </w:pPr>
      <w:r>
        <w:rPr>
          <w:rFonts w:hint="default" w:ascii="Times New Roman" w:hAnsi="Times New Roman"/>
          <w:b/>
          <w:i w:val="false"/>
          <w:color w:val="000000"/>
          <w:sz w:val="24"/>
        </w:rPr>
        <w:t>Допустимая на период ликвидации послеаварийного режима перегрузка для кабелей напряжением до 10 кВ с бумажной изоляцией</w:t>
      </w:r>
    </w:p>
    <w:bookmarkEnd w:id="4816"/>
    <w:bookmarkStart w:name="637606272" w:id="481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w:t>
      </w:r>
    </w:p>
    <w:bookmarkEnd w:id="4817"/>
    <w:bookmarkStart w:name="637606273" w:id="4818"/>
    <w:tbl>
      <w:tblPr>
        <w:tblW w:w="18660" w:type="auto"/>
        <w:tblCellSpacing w:w="0" w:type="auto"/>
        <w:tblBorders>
          <w:top w:val="none"/>
          <w:left w:val="none"/>
          <w:bottom w:val="none"/>
          <w:right w:val="none"/>
          <w:insideH w:val="none"/>
          <w:insideV w:val="none"/>
        </w:tblBorders>
        <w:tblLayout/>
      </w:tblPr>
      <w:tblGrid>
        <w:gridCol w:w="3739"/>
        <w:gridCol w:w="4389"/>
        <w:gridCol w:w="2685"/>
        <w:gridCol w:w="2685"/>
        <w:gridCol w:w="2502"/>
      </w:tblGrid>
      <w:tr>
        <w:trPr>
          <w:trHeight w:val="30" w:hRule="atLeast"/>
        </w:trPr>
        <w:tc>
          <w:tcPr>
            <w:tcW w:w="373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предварительной нагрузки</w:t>
            </w:r>
          </w:p>
        </w:tc>
        <w:tc>
          <w:tcPr>
            <w:tcW w:w="438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прокладки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Допустимая перегрузка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по отношению к номинальной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при длительности максимума, ч</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5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3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0,6</w:t>
            </w:r>
          </w:p>
        </w:tc>
        <w:tc>
          <w:tcPr>
            <w:tcW w:w="43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воздухе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трубах (в земле)</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25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w:t>
            </w:r>
          </w:p>
        </w:tc>
      </w:tr>
      <w:tr>
        <w:trPr>
          <w:trHeight w:val="30" w:hRule="atLeast"/>
        </w:trPr>
        <w:tc>
          <w:tcPr>
            <w:tcW w:w="3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w:t>
            </w:r>
          </w:p>
        </w:tc>
        <w:tc>
          <w:tcPr>
            <w:tcW w:w="43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воздухе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трубах (в земле)</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2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w:t>
            </w:r>
          </w:p>
        </w:tc>
        <w:tc>
          <w:tcPr>
            <w:tcW w:w="25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r>
    </w:tbl>
    <w:bookmarkEnd w:id="4818"/>
    <w:bookmarkStart w:name="637606274" w:id="4819"/>
    <w:p>
      <w:pPr>
        <w:spacing w:before="120" w:after="120" w:line="240"/>
        <w:ind w:left="0"/>
        <w:jc w:val="both"/>
      </w:pPr>
      <w:r>
        <w:rPr>
          <w:rFonts w:hint="default" w:ascii="Times New Roman" w:hAnsi="Times New Roman"/>
          <w:b/>
          <w:i w:val="false"/>
          <w:color w:val="000000"/>
          <w:sz w:val="24"/>
        </w:rPr>
        <w:t>Поправочные коэффициенты на токи для кабелей, неизолированных и изолированных проводов и шин в зависимости от температуры земли и воздуха</w:t>
      </w:r>
    </w:p>
    <w:bookmarkEnd w:id="4819"/>
    <w:bookmarkStart w:name="637606275" w:id="482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w:t>
      </w:r>
    </w:p>
    <w:bookmarkEnd w:id="4820"/>
    <w:bookmarkStart w:name="637606276" w:id="4821"/>
    <w:tbl>
      <w:tblPr>
        <w:tblW w:w="18660" w:type="auto"/>
        <w:tblCellSpacing w:w="0" w:type="auto"/>
        <w:tblBorders>
          <w:top w:val="none"/>
          <w:left w:val="none"/>
          <w:bottom w:val="none"/>
          <w:right w:val="none"/>
          <w:insideH w:val="none"/>
          <w:insideV w:val="none"/>
        </w:tblBorders>
        <w:tblLayout/>
      </w:tblPr>
      <w:tblGrid>
        <w:gridCol w:w="1017"/>
        <w:gridCol w:w="859"/>
        <w:gridCol w:w="1215"/>
        <w:gridCol w:w="1201"/>
        <w:gridCol w:w="1157"/>
        <w:gridCol w:w="1086"/>
        <w:gridCol w:w="1114"/>
        <w:gridCol w:w="1057"/>
        <w:gridCol w:w="1158"/>
        <w:gridCol w:w="1172"/>
        <w:gridCol w:w="1317"/>
        <w:gridCol w:w="1201"/>
        <w:gridCol w:w="1115"/>
        <w:gridCol w:w="1331"/>
      </w:tblGrid>
      <w:tr>
        <w:trPr>
          <w:trHeight w:val="30" w:hRule="atLeast"/>
        </w:trPr>
        <w:tc>
          <w:tcPr>
            <w:tcW w:w="101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Условная температура среды,</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85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Нормированная температура жил,</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0" w:type="auto"/>
            <w:gridSpan w:val="1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Поправочные коэффициенты на токи при расчетной температуре среды,</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 и ниже</w:t>
            </w:r>
          </w:p>
        </w:tc>
        <w:tc>
          <w:tcPr>
            <w:tcW w:w="12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1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w:t>
            </w:r>
          </w:p>
        </w:tc>
        <w:tc>
          <w:tcPr>
            <w:tcW w:w="10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+ 10</w:t>
            </w:r>
          </w:p>
        </w:tc>
        <w:tc>
          <w:tcPr>
            <w:tcW w:w="11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+ 15</w:t>
            </w:r>
          </w:p>
        </w:tc>
        <w:tc>
          <w:tcPr>
            <w:tcW w:w="10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+ 20</w:t>
            </w:r>
          </w:p>
        </w:tc>
        <w:tc>
          <w:tcPr>
            <w:tcW w:w="11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+ 25</w:t>
            </w:r>
          </w:p>
        </w:tc>
        <w:tc>
          <w:tcPr>
            <w:tcW w:w="11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+ 30</w:t>
            </w:r>
          </w:p>
        </w:tc>
        <w:tc>
          <w:tcPr>
            <w:tcW w:w="1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+ 35</w:t>
            </w:r>
          </w:p>
        </w:tc>
        <w:tc>
          <w:tcPr>
            <w:tcW w:w="12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+ 40</w:t>
            </w:r>
          </w:p>
        </w:tc>
        <w:tc>
          <w:tcPr>
            <w:tcW w:w="11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+ 45</w:t>
            </w:r>
          </w:p>
        </w:tc>
        <w:tc>
          <w:tcPr>
            <w:tcW w:w="13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+ 50</w:t>
            </w:r>
          </w:p>
        </w:tc>
      </w:tr>
      <w:tr>
        <w:trPr>
          <w:trHeight w:val="30" w:hRule="atLeast"/>
        </w:trPr>
        <w:tc>
          <w:tcPr>
            <w:tcW w:w="10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15</w:t>
            </w:r>
          </w:p>
          <w:p>
            <w:pPr>
              <w:spacing w:after="0"/>
              <w:ind w:left="14"/>
              <w:jc w:val="left"/>
            </w:pPr>
            <w:r>
              <w:rPr>
                <w:rFonts w:hint="default" w:ascii="Times New Roman" w:hAnsi="Times New Roman"/>
                <w:b w:val="false"/>
                <w:i w:val="false"/>
                <w:color w:val="000000"/>
                <w:sz w:val="24"/>
              </w:rPr>
              <w:t>25</w:t>
            </w:r>
          </w:p>
        </w:tc>
        <w:tc>
          <w:tcPr>
            <w:tcW w:w="8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50</w:t>
            </w:r>
          </w:p>
          <w:p>
            <w:pPr>
              <w:spacing w:after="0"/>
              <w:ind w:left="14"/>
              <w:jc w:val="left"/>
            </w:pPr>
            <w:r>
              <w:rPr>
                <w:rFonts w:hint="default" w:ascii="Times New Roman" w:hAnsi="Times New Roman"/>
                <w:b w:val="false"/>
                <w:i w:val="false"/>
                <w:color w:val="000000"/>
                <w:sz w:val="24"/>
              </w:rPr>
              <w:t>50</w:t>
            </w:r>
          </w:p>
        </w:tc>
        <w:tc>
          <w:tcPr>
            <w:tcW w:w="121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1,14</w:t>
            </w:r>
          </w:p>
          <w:p>
            <w:pPr>
              <w:spacing w:after="14"/>
              <w:ind w:left="14"/>
              <w:jc w:val="left"/>
            </w:pPr>
            <w:r>
              <w:rPr>
                <w:rFonts w:hint="default" w:ascii="Times New Roman" w:hAnsi="Times New Roman"/>
                <w:b w:val="false"/>
                <w:i w:val="false"/>
                <w:color w:val="000000"/>
                <w:sz w:val="24"/>
              </w:rPr>
              <w:t>1,24</w:t>
            </w:r>
          </w:p>
          <w:p>
            <w:pPr>
              <w:spacing w:after="14"/>
              <w:ind w:left="14"/>
              <w:jc w:val="left"/>
            </w:pPr>
            <w:r>
              <w:rPr>
                <w:rFonts w:hint="default" w:ascii="Times New Roman" w:hAnsi="Times New Roman"/>
                <w:b w:val="false"/>
                <w:i w:val="false"/>
                <w:color w:val="000000"/>
                <w:sz w:val="24"/>
              </w:rPr>
              <w:t>1,29</w:t>
            </w:r>
          </w:p>
          <w:p>
            <w:pPr>
              <w:spacing w:after="14"/>
              <w:ind w:left="14"/>
              <w:jc w:val="left"/>
            </w:pPr>
            <w:r>
              <w:rPr>
                <w:rFonts w:hint="default" w:ascii="Times New Roman" w:hAnsi="Times New Roman"/>
                <w:b w:val="false"/>
                <w:i w:val="false"/>
                <w:color w:val="000000"/>
                <w:sz w:val="24"/>
              </w:rPr>
              <w:t>1,18</w:t>
            </w:r>
          </w:p>
          <w:p>
            <w:pPr>
              <w:spacing w:after="14"/>
              <w:ind w:left="14"/>
              <w:jc w:val="left"/>
            </w:pPr>
            <w:r>
              <w:rPr>
                <w:rFonts w:hint="default" w:ascii="Times New Roman" w:hAnsi="Times New Roman"/>
                <w:b w:val="false"/>
                <w:i w:val="false"/>
                <w:color w:val="000000"/>
                <w:sz w:val="24"/>
              </w:rPr>
              <w:t>1,32</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1,36</w:t>
            </w:r>
          </w:p>
          <w:p>
            <w:pPr>
              <w:spacing w:after="14"/>
              <w:ind w:left="14"/>
              <w:jc w:val="left"/>
            </w:pPr>
            <w:r>
              <w:rPr>
                <w:rFonts w:hint="default" w:ascii="Times New Roman" w:hAnsi="Times New Roman"/>
                <w:b w:val="false"/>
                <w:i w:val="false"/>
                <w:color w:val="000000"/>
                <w:sz w:val="24"/>
              </w:rPr>
              <w:t>1,22</w:t>
            </w:r>
          </w:p>
          <w:p>
            <w:pPr>
              <w:spacing w:after="14"/>
              <w:ind w:left="14"/>
              <w:jc w:val="left"/>
            </w:pPr>
            <w:r>
              <w:rPr>
                <w:rFonts w:hint="default" w:ascii="Times New Roman" w:hAnsi="Times New Roman"/>
                <w:b w:val="false"/>
                <w:i w:val="false"/>
                <w:color w:val="000000"/>
                <w:sz w:val="24"/>
              </w:rPr>
              <w:t>1,41</w:t>
            </w:r>
          </w:p>
          <w:p>
            <w:pPr>
              <w:spacing w:after="14"/>
              <w:ind w:left="14"/>
              <w:jc w:val="left"/>
            </w:pPr>
            <w:r>
              <w:rPr>
                <w:rFonts w:hint="default" w:ascii="Times New Roman" w:hAnsi="Times New Roman"/>
                <w:b w:val="false"/>
                <w:i w:val="false"/>
                <w:color w:val="000000"/>
                <w:sz w:val="24"/>
              </w:rPr>
              <w:t>1,25</w:t>
            </w:r>
          </w:p>
          <w:p>
            <w:pPr>
              <w:spacing w:after="0"/>
              <w:ind w:left="14"/>
              <w:jc w:val="left"/>
            </w:pPr>
            <w:r>
              <w:rPr>
                <w:rFonts w:hint="default" w:ascii="Times New Roman" w:hAnsi="Times New Roman"/>
                <w:b w:val="false"/>
                <w:i w:val="false"/>
                <w:color w:val="000000"/>
                <w:sz w:val="24"/>
              </w:rPr>
              <w:t>1,48</w:t>
            </w:r>
          </w:p>
        </w:tc>
        <w:tc>
          <w:tcPr>
            <w:tcW w:w="120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1,11</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1,24</w:t>
            </w:r>
          </w:p>
          <w:p>
            <w:pPr>
              <w:spacing w:after="14"/>
              <w:ind w:left="14"/>
              <w:jc w:val="left"/>
            </w:pPr>
            <w:r>
              <w:rPr>
                <w:rFonts w:hint="default" w:ascii="Times New Roman" w:hAnsi="Times New Roman"/>
                <w:b w:val="false"/>
                <w:i w:val="false"/>
                <w:color w:val="000000"/>
                <w:sz w:val="24"/>
              </w:rPr>
              <w:t>1,14</w:t>
            </w:r>
          </w:p>
          <w:p>
            <w:pPr>
              <w:spacing w:after="14"/>
              <w:ind w:left="14"/>
              <w:jc w:val="left"/>
            </w:pPr>
            <w:r>
              <w:rPr>
                <w:rFonts w:hint="default" w:ascii="Times New Roman" w:hAnsi="Times New Roman"/>
                <w:b w:val="false"/>
                <w:i w:val="false"/>
                <w:color w:val="000000"/>
                <w:sz w:val="24"/>
              </w:rPr>
              <w:t>1,27</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1,31</w:t>
            </w:r>
          </w:p>
          <w:p>
            <w:pPr>
              <w:spacing w:after="14"/>
              <w:ind w:left="14"/>
              <w:jc w:val="left"/>
            </w:pPr>
            <w:r>
              <w:rPr>
                <w:rFonts w:hint="default" w:ascii="Times New Roman" w:hAnsi="Times New Roman"/>
                <w:b w:val="false"/>
                <w:i w:val="false"/>
                <w:color w:val="000000"/>
                <w:sz w:val="24"/>
              </w:rPr>
              <w:t>1,17</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1,20</w:t>
            </w:r>
          </w:p>
          <w:p>
            <w:pPr>
              <w:spacing w:after="0"/>
              <w:ind w:left="14"/>
              <w:jc w:val="left"/>
            </w:pPr>
            <w:r>
              <w:rPr>
                <w:rFonts w:hint="default" w:ascii="Times New Roman" w:hAnsi="Times New Roman"/>
                <w:b w:val="false"/>
                <w:i w:val="false"/>
                <w:color w:val="000000"/>
                <w:sz w:val="24"/>
              </w:rPr>
              <w:t>1,41</w:t>
            </w:r>
          </w:p>
        </w:tc>
        <w:tc>
          <w:tcPr>
            <w:tcW w:w="115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1,08</w:t>
            </w:r>
          </w:p>
          <w:p>
            <w:pPr>
              <w:spacing w:after="14"/>
              <w:ind w:left="14"/>
              <w:jc w:val="left"/>
            </w:pPr>
            <w:r>
              <w:rPr>
                <w:rFonts w:hint="default" w:ascii="Times New Roman" w:hAnsi="Times New Roman"/>
                <w:b w:val="false"/>
                <w:i w:val="false"/>
                <w:color w:val="000000"/>
                <w:sz w:val="24"/>
              </w:rPr>
              <w:t>1,17</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1,22</w:t>
            </w:r>
          </w:p>
          <w:p>
            <w:pPr>
              <w:spacing w:after="14"/>
              <w:ind w:left="14"/>
              <w:jc w:val="left"/>
            </w:pPr>
            <w:r>
              <w:rPr>
                <w:rFonts w:hint="default" w:ascii="Times New Roman" w:hAnsi="Times New Roman"/>
                <w:b w:val="false"/>
                <w:i w:val="false"/>
                <w:color w:val="000000"/>
                <w:sz w:val="24"/>
              </w:rPr>
              <w:t>1,12</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1,12</w:t>
            </w:r>
          </w:p>
          <w:p>
            <w:pPr>
              <w:spacing w:after="14"/>
              <w:ind w:left="14"/>
              <w:jc w:val="left"/>
            </w:pPr>
            <w:r>
              <w:rPr>
                <w:rFonts w:hint="default" w:ascii="Times New Roman" w:hAnsi="Times New Roman"/>
                <w:b w:val="false"/>
                <w:i w:val="false"/>
                <w:color w:val="000000"/>
                <w:sz w:val="24"/>
              </w:rPr>
              <w:t>1,29</w:t>
            </w:r>
          </w:p>
          <w:p>
            <w:pPr>
              <w:spacing w:after="14"/>
              <w:ind w:left="14"/>
              <w:jc w:val="left"/>
            </w:pPr>
            <w:r>
              <w:rPr>
                <w:rFonts w:hint="default" w:ascii="Times New Roman" w:hAnsi="Times New Roman"/>
                <w:b w:val="false"/>
                <w:i w:val="false"/>
                <w:color w:val="000000"/>
                <w:sz w:val="24"/>
              </w:rPr>
              <w:t>1,14</w:t>
            </w:r>
          </w:p>
          <w:p>
            <w:pPr>
              <w:spacing w:after="0"/>
              <w:ind w:left="14"/>
              <w:jc w:val="left"/>
            </w:pPr>
            <w:r>
              <w:rPr>
                <w:rFonts w:hint="default" w:ascii="Times New Roman" w:hAnsi="Times New Roman"/>
                <w:b w:val="false"/>
                <w:i w:val="false"/>
                <w:color w:val="000000"/>
                <w:sz w:val="24"/>
              </w:rPr>
              <w:t>1,34</w:t>
            </w:r>
          </w:p>
        </w:tc>
        <w:tc>
          <w:tcPr>
            <w:tcW w:w="108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1,04</w:t>
            </w:r>
          </w:p>
          <w:p>
            <w:pPr>
              <w:spacing w:after="14"/>
              <w:ind w:left="14"/>
              <w:jc w:val="left"/>
            </w:pPr>
            <w:r>
              <w:rPr>
                <w:rFonts w:hint="default" w:ascii="Times New Roman" w:hAnsi="Times New Roman"/>
                <w:b w:val="false"/>
                <w:i w:val="false"/>
                <w:color w:val="000000"/>
                <w:sz w:val="24"/>
              </w:rPr>
              <w:t>1,13</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1,17</w:t>
            </w:r>
          </w:p>
          <w:p>
            <w:pPr>
              <w:spacing w:after="14"/>
              <w:ind w:left="14"/>
              <w:jc w:val="left"/>
            </w:pPr>
            <w:r>
              <w:rPr>
                <w:rFonts w:hint="default" w:ascii="Times New Roman" w:hAnsi="Times New Roman"/>
                <w:b w:val="false"/>
                <w:i w:val="false"/>
                <w:color w:val="000000"/>
                <w:sz w:val="24"/>
              </w:rPr>
              <w:t>1,06</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1,07</w:t>
            </w:r>
          </w:p>
          <w:p>
            <w:pPr>
              <w:spacing w:after="14"/>
              <w:ind w:left="14"/>
              <w:jc w:val="left"/>
            </w:pPr>
            <w:r>
              <w:rPr>
                <w:rFonts w:hint="default" w:ascii="Times New Roman" w:hAnsi="Times New Roman"/>
                <w:b w:val="false"/>
                <w:i w:val="false"/>
                <w:color w:val="000000"/>
                <w:sz w:val="24"/>
              </w:rPr>
              <w:t>1,23</w:t>
            </w:r>
          </w:p>
          <w:p>
            <w:pPr>
              <w:spacing w:after="14"/>
              <w:ind w:left="14"/>
              <w:jc w:val="left"/>
            </w:pPr>
            <w:r>
              <w:rPr>
                <w:rFonts w:hint="default" w:ascii="Times New Roman" w:hAnsi="Times New Roman"/>
                <w:b w:val="false"/>
                <w:i w:val="false"/>
                <w:color w:val="000000"/>
                <w:sz w:val="24"/>
              </w:rPr>
              <w:t>1,07</w:t>
            </w:r>
          </w:p>
          <w:p>
            <w:pPr>
              <w:spacing w:after="0"/>
              <w:ind w:left="14"/>
              <w:jc w:val="left"/>
            </w:pPr>
            <w:r>
              <w:rPr>
                <w:rFonts w:hint="default" w:ascii="Times New Roman" w:hAnsi="Times New Roman"/>
                <w:b w:val="false"/>
                <w:i w:val="false"/>
                <w:color w:val="000000"/>
                <w:sz w:val="24"/>
              </w:rPr>
              <w:t>1,26</w:t>
            </w:r>
          </w:p>
        </w:tc>
        <w:tc>
          <w:tcPr>
            <w:tcW w:w="111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1,09</w:t>
            </w:r>
          </w:p>
          <w:p>
            <w:pPr>
              <w:spacing w:after="14"/>
              <w:ind w:left="14"/>
              <w:jc w:val="left"/>
            </w:pPr>
            <w:r>
              <w:rPr>
                <w:rFonts w:hint="default" w:ascii="Times New Roman" w:hAnsi="Times New Roman"/>
                <w:b w:val="false"/>
                <w:i w:val="false"/>
                <w:color w:val="000000"/>
                <w:sz w:val="24"/>
              </w:rPr>
              <w:t>1,11</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1,12</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1,13</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1,00</w:t>
            </w:r>
          </w:p>
          <w:p>
            <w:pPr>
              <w:spacing w:after="0"/>
              <w:ind w:left="14"/>
              <w:jc w:val="left"/>
            </w:pPr>
            <w:r>
              <w:rPr>
                <w:rFonts w:hint="default" w:ascii="Times New Roman" w:hAnsi="Times New Roman"/>
                <w:b w:val="false"/>
                <w:i w:val="false"/>
                <w:color w:val="000000"/>
                <w:sz w:val="24"/>
              </w:rPr>
              <w:t>1,18</w:t>
            </w:r>
          </w:p>
        </w:tc>
        <w:tc>
          <w:tcPr>
            <w:tcW w:w="105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0,96</w:t>
            </w:r>
          </w:p>
          <w:p>
            <w:pPr>
              <w:spacing w:after="14"/>
              <w:ind w:left="14"/>
              <w:jc w:val="left"/>
            </w:pPr>
            <w:r>
              <w:rPr>
                <w:rFonts w:hint="default" w:ascii="Times New Roman" w:hAnsi="Times New Roman"/>
                <w:b w:val="false"/>
                <w:i w:val="false"/>
                <w:color w:val="000000"/>
                <w:sz w:val="24"/>
              </w:rPr>
              <w:t>1,04</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0,95</w:t>
            </w:r>
          </w:p>
          <w:p>
            <w:pPr>
              <w:spacing w:after="14"/>
              <w:ind w:left="14"/>
              <w:jc w:val="left"/>
            </w:pPr>
            <w:r>
              <w:rPr>
                <w:rFonts w:hint="default" w:ascii="Times New Roman" w:hAnsi="Times New Roman"/>
                <w:b w:val="false"/>
                <w:i w:val="false"/>
                <w:color w:val="000000"/>
                <w:sz w:val="24"/>
              </w:rPr>
              <w:t>1,06</w:t>
            </w:r>
          </w:p>
          <w:p>
            <w:pPr>
              <w:spacing w:after="14"/>
              <w:ind w:left="14"/>
              <w:jc w:val="left"/>
            </w:pPr>
            <w:r>
              <w:rPr>
                <w:rFonts w:hint="default" w:ascii="Times New Roman" w:hAnsi="Times New Roman"/>
                <w:b w:val="false"/>
                <w:i w:val="false"/>
                <w:color w:val="000000"/>
                <w:sz w:val="24"/>
              </w:rPr>
              <w:t>0,94</w:t>
            </w:r>
          </w:p>
          <w:p>
            <w:pPr>
              <w:spacing w:after="14"/>
              <w:ind w:left="14"/>
              <w:jc w:val="left"/>
            </w:pPr>
            <w:r>
              <w:rPr>
                <w:rFonts w:hint="default" w:ascii="Times New Roman" w:hAnsi="Times New Roman"/>
                <w:b w:val="false"/>
                <w:i w:val="false"/>
                <w:color w:val="000000"/>
                <w:sz w:val="24"/>
              </w:rPr>
              <w:t>1,07</w:t>
            </w:r>
          </w:p>
          <w:p>
            <w:pPr>
              <w:spacing w:after="14"/>
              <w:ind w:left="14"/>
              <w:jc w:val="left"/>
            </w:pPr>
            <w:r>
              <w:rPr>
                <w:rFonts w:hint="default" w:ascii="Times New Roman" w:hAnsi="Times New Roman"/>
                <w:b w:val="false"/>
                <w:i w:val="false"/>
                <w:color w:val="000000"/>
                <w:sz w:val="24"/>
              </w:rPr>
              <w:t>0,93</w:t>
            </w:r>
          </w:p>
          <w:p>
            <w:pPr>
              <w:spacing w:after="14"/>
              <w:ind w:left="14"/>
              <w:jc w:val="left"/>
            </w:pPr>
            <w:r>
              <w:rPr>
                <w:rFonts w:hint="default" w:ascii="Times New Roman" w:hAnsi="Times New Roman"/>
                <w:b w:val="false"/>
                <w:i w:val="false"/>
                <w:color w:val="000000"/>
                <w:sz w:val="24"/>
              </w:rPr>
              <w:t>1,08</w:t>
            </w:r>
          </w:p>
          <w:p>
            <w:pPr>
              <w:spacing w:after="14"/>
              <w:ind w:left="14"/>
              <w:jc w:val="left"/>
            </w:pPr>
            <w:r>
              <w:rPr>
                <w:rFonts w:hint="default" w:ascii="Times New Roman" w:hAnsi="Times New Roman"/>
                <w:b w:val="false"/>
                <w:i w:val="false"/>
                <w:color w:val="000000"/>
                <w:sz w:val="24"/>
              </w:rPr>
              <w:t>0,93</w:t>
            </w:r>
          </w:p>
          <w:p>
            <w:pPr>
              <w:spacing w:after="0"/>
              <w:ind w:left="14"/>
              <w:jc w:val="left"/>
            </w:pPr>
            <w:r>
              <w:rPr>
                <w:rFonts w:hint="default" w:ascii="Times New Roman" w:hAnsi="Times New Roman"/>
                <w:b w:val="false"/>
                <w:i w:val="false"/>
                <w:color w:val="000000"/>
                <w:sz w:val="24"/>
              </w:rPr>
              <w:t>1,09</w:t>
            </w:r>
          </w:p>
        </w:tc>
        <w:tc>
          <w:tcPr>
            <w:tcW w:w="115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0,92</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0,89</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0,88</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0,86</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0,84</w:t>
            </w:r>
          </w:p>
          <w:p>
            <w:pPr>
              <w:spacing w:after="0"/>
              <w:ind w:left="14"/>
              <w:jc w:val="left"/>
            </w:pPr>
            <w:r>
              <w:rPr>
                <w:rFonts w:hint="default" w:ascii="Times New Roman" w:hAnsi="Times New Roman"/>
                <w:b w:val="false"/>
                <w:i w:val="false"/>
                <w:color w:val="000000"/>
                <w:sz w:val="24"/>
              </w:rPr>
              <w:t>1,00</w:t>
            </w:r>
          </w:p>
        </w:tc>
        <w:tc>
          <w:tcPr>
            <w:tcW w:w="11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0,88</w:t>
            </w:r>
          </w:p>
          <w:p>
            <w:pPr>
              <w:spacing w:after="14"/>
              <w:ind w:left="14"/>
              <w:jc w:val="left"/>
            </w:pPr>
            <w:r>
              <w:rPr>
                <w:rFonts w:hint="default" w:ascii="Times New Roman" w:hAnsi="Times New Roman"/>
                <w:b w:val="false"/>
                <w:i w:val="false"/>
                <w:color w:val="000000"/>
                <w:sz w:val="24"/>
              </w:rPr>
              <w:t>0,95</w:t>
            </w:r>
          </w:p>
          <w:p>
            <w:pPr>
              <w:spacing w:after="14"/>
              <w:ind w:left="14"/>
              <w:jc w:val="left"/>
            </w:pPr>
            <w:r>
              <w:rPr>
                <w:rFonts w:hint="default" w:ascii="Times New Roman" w:hAnsi="Times New Roman"/>
                <w:b w:val="false"/>
                <w:i w:val="false"/>
                <w:color w:val="000000"/>
                <w:sz w:val="24"/>
              </w:rPr>
              <w:t>0,94</w:t>
            </w:r>
          </w:p>
          <w:p>
            <w:pPr>
              <w:spacing w:after="14"/>
              <w:ind w:left="14"/>
              <w:jc w:val="left"/>
            </w:pPr>
            <w:r>
              <w:rPr>
                <w:rFonts w:hint="default" w:ascii="Times New Roman" w:hAnsi="Times New Roman"/>
                <w:b w:val="false"/>
                <w:i w:val="false"/>
                <w:color w:val="000000"/>
                <w:sz w:val="24"/>
              </w:rPr>
              <w:t>0,84</w:t>
            </w:r>
          </w:p>
          <w:p>
            <w:pPr>
              <w:spacing w:after="14"/>
              <w:ind w:left="14"/>
              <w:jc w:val="left"/>
            </w:pPr>
            <w:r>
              <w:rPr>
                <w:rFonts w:hint="default" w:ascii="Times New Roman" w:hAnsi="Times New Roman"/>
                <w:b w:val="false"/>
                <w:i w:val="false"/>
                <w:color w:val="000000"/>
                <w:sz w:val="24"/>
              </w:rPr>
              <w:t>0,94</w:t>
            </w:r>
          </w:p>
          <w:p>
            <w:pPr>
              <w:spacing w:after="14"/>
              <w:ind w:left="14"/>
              <w:jc w:val="left"/>
            </w:pPr>
            <w:r>
              <w:rPr>
                <w:rFonts w:hint="default" w:ascii="Times New Roman" w:hAnsi="Times New Roman"/>
                <w:b w:val="false"/>
                <w:i w:val="false"/>
                <w:color w:val="000000"/>
                <w:sz w:val="24"/>
              </w:rPr>
              <w:t>0,82</w:t>
            </w:r>
          </w:p>
          <w:p>
            <w:pPr>
              <w:spacing w:after="14"/>
              <w:ind w:left="14"/>
              <w:jc w:val="left"/>
            </w:pPr>
            <w:r>
              <w:rPr>
                <w:rFonts w:hint="default" w:ascii="Times New Roman" w:hAnsi="Times New Roman"/>
                <w:b w:val="false"/>
                <w:i w:val="false"/>
                <w:color w:val="000000"/>
                <w:sz w:val="24"/>
              </w:rPr>
              <w:t>0,93</w:t>
            </w:r>
          </w:p>
          <w:p>
            <w:pPr>
              <w:spacing w:after="14"/>
              <w:ind w:left="14"/>
              <w:jc w:val="left"/>
            </w:pPr>
            <w:r>
              <w:rPr>
                <w:rFonts w:hint="default" w:ascii="Times New Roman" w:hAnsi="Times New Roman"/>
                <w:b w:val="false"/>
                <w:i w:val="false"/>
                <w:color w:val="000000"/>
                <w:sz w:val="24"/>
              </w:rPr>
              <w:t>0,79</w:t>
            </w:r>
          </w:p>
          <w:p>
            <w:pPr>
              <w:spacing w:after="14"/>
              <w:ind w:left="14"/>
              <w:jc w:val="left"/>
            </w:pPr>
            <w:r>
              <w:rPr>
                <w:rFonts w:hint="default" w:ascii="Times New Roman" w:hAnsi="Times New Roman"/>
                <w:b w:val="false"/>
                <w:i w:val="false"/>
                <w:color w:val="000000"/>
                <w:sz w:val="24"/>
              </w:rPr>
              <w:t>0,91</w:t>
            </w:r>
          </w:p>
          <w:p>
            <w:pPr>
              <w:spacing w:after="14"/>
              <w:ind w:left="14"/>
              <w:jc w:val="left"/>
            </w:pPr>
            <w:r>
              <w:rPr>
                <w:rFonts w:hint="default" w:ascii="Times New Roman" w:hAnsi="Times New Roman"/>
                <w:b w:val="false"/>
                <w:i w:val="false"/>
                <w:color w:val="000000"/>
                <w:sz w:val="24"/>
              </w:rPr>
              <w:t>0,76</w:t>
            </w:r>
          </w:p>
          <w:p>
            <w:pPr>
              <w:spacing w:after="0"/>
              <w:ind w:left="14"/>
              <w:jc w:val="left"/>
            </w:pPr>
            <w:r>
              <w:rPr>
                <w:rFonts w:hint="default" w:ascii="Times New Roman" w:hAnsi="Times New Roman"/>
                <w:b w:val="false"/>
                <w:i w:val="false"/>
                <w:color w:val="000000"/>
                <w:sz w:val="24"/>
              </w:rPr>
              <w:t>0,89</w:t>
            </w:r>
          </w:p>
        </w:tc>
        <w:tc>
          <w:tcPr>
            <w:tcW w:w="13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0,83</w:t>
            </w:r>
          </w:p>
          <w:p>
            <w:pPr>
              <w:spacing w:after="14"/>
              <w:ind w:left="14"/>
              <w:jc w:val="left"/>
            </w:pPr>
            <w:r>
              <w:rPr>
                <w:rFonts w:hint="default" w:ascii="Times New Roman" w:hAnsi="Times New Roman"/>
                <w:b w:val="false"/>
                <w:i w:val="false"/>
                <w:color w:val="000000"/>
                <w:sz w:val="24"/>
              </w:rPr>
              <w:t>0,90</w:t>
            </w:r>
          </w:p>
          <w:p>
            <w:pPr>
              <w:spacing w:after="14"/>
              <w:ind w:left="14"/>
              <w:jc w:val="left"/>
            </w:pPr>
            <w:r>
              <w:rPr>
                <w:rFonts w:hint="default" w:ascii="Times New Roman" w:hAnsi="Times New Roman"/>
                <w:b w:val="false"/>
                <w:i w:val="false"/>
                <w:color w:val="000000"/>
                <w:sz w:val="24"/>
              </w:rPr>
              <w:t>0,88</w:t>
            </w:r>
          </w:p>
          <w:p>
            <w:pPr>
              <w:spacing w:after="14"/>
              <w:ind w:left="14"/>
              <w:jc w:val="left"/>
            </w:pPr>
            <w:r>
              <w:rPr>
                <w:rFonts w:hint="default" w:ascii="Times New Roman" w:hAnsi="Times New Roman"/>
                <w:b w:val="false"/>
                <w:i w:val="false"/>
                <w:color w:val="000000"/>
                <w:sz w:val="24"/>
              </w:rPr>
              <w:t>0,77</w:t>
            </w:r>
          </w:p>
          <w:p>
            <w:pPr>
              <w:spacing w:after="14"/>
              <w:ind w:left="14"/>
              <w:jc w:val="left"/>
            </w:pPr>
            <w:r>
              <w:rPr>
                <w:rFonts w:hint="default" w:ascii="Times New Roman" w:hAnsi="Times New Roman"/>
                <w:b w:val="false"/>
                <w:i w:val="false"/>
                <w:color w:val="000000"/>
                <w:sz w:val="24"/>
              </w:rPr>
              <w:t>0,87</w:t>
            </w:r>
          </w:p>
          <w:p>
            <w:pPr>
              <w:spacing w:after="14"/>
              <w:ind w:left="14"/>
              <w:jc w:val="left"/>
            </w:pPr>
            <w:r>
              <w:rPr>
                <w:rFonts w:hint="default" w:ascii="Times New Roman" w:hAnsi="Times New Roman"/>
                <w:b w:val="false"/>
                <w:i w:val="false"/>
                <w:color w:val="000000"/>
                <w:sz w:val="24"/>
              </w:rPr>
              <w:t>0,75</w:t>
            </w:r>
          </w:p>
          <w:p>
            <w:pPr>
              <w:spacing w:after="14"/>
              <w:ind w:left="14"/>
              <w:jc w:val="left"/>
            </w:pPr>
            <w:r>
              <w:rPr>
                <w:rFonts w:hint="default" w:ascii="Times New Roman" w:hAnsi="Times New Roman"/>
                <w:b w:val="false"/>
                <w:i w:val="false"/>
                <w:color w:val="000000"/>
                <w:sz w:val="24"/>
              </w:rPr>
              <w:t>0,85</w:t>
            </w:r>
          </w:p>
          <w:p>
            <w:pPr>
              <w:spacing w:after="14"/>
              <w:ind w:left="14"/>
              <w:jc w:val="left"/>
            </w:pPr>
            <w:r>
              <w:rPr>
                <w:rFonts w:hint="default" w:ascii="Times New Roman" w:hAnsi="Times New Roman"/>
                <w:b w:val="false"/>
                <w:i w:val="false"/>
                <w:color w:val="000000"/>
                <w:sz w:val="24"/>
              </w:rPr>
              <w:t>0,71</w:t>
            </w:r>
          </w:p>
          <w:p>
            <w:pPr>
              <w:spacing w:after="14"/>
              <w:ind w:left="14"/>
              <w:jc w:val="left"/>
            </w:pPr>
            <w:r>
              <w:rPr>
                <w:rFonts w:hint="default" w:ascii="Times New Roman" w:hAnsi="Times New Roman"/>
                <w:b w:val="false"/>
                <w:i w:val="false"/>
                <w:color w:val="000000"/>
                <w:sz w:val="24"/>
              </w:rPr>
              <w:t>0,82</w:t>
            </w:r>
          </w:p>
          <w:p>
            <w:pPr>
              <w:spacing w:after="14"/>
              <w:ind w:left="14"/>
              <w:jc w:val="left"/>
            </w:pPr>
            <w:r>
              <w:rPr>
                <w:rFonts w:hint="default" w:ascii="Times New Roman" w:hAnsi="Times New Roman"/>
                <w:b w:val="false"/>
                <w:i w:val="false"/>
                <w:color w:val="000000"/>
                <w:sz w:val="24"/>
              </w:rPr>
              <w:t>0,66</w:t>
            </w:r>
          </w:p>
          <w:p>
            <w:pPr>
              <w:spacing w:after="0"/>
              <w:ind w:left="14"/>
              <w:jc w:val="left"/>
            </w:pPr>
            <w:r>
              <w:rPr>
                <w:rFonts w:hint="default" w:ascii="Times New Roman" w:hAnsi="Times New Roman"/>
                <w:b w:val="false"/>
                <w:i w:val="false"/>
                <w:color w:val="000000"/>
                <w:sz w:val="24"/>
              </w:rPr>
              <w:t>0,78</w:t>
            </w:r>
          </w:p>
        </w:tc>
        <w:tc>
          <w:tcPr>
            <w:tcW w:w="120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0,78</w:t>
            </w:r>
          </w:p>
          <w:p>
            <w:pPr>
              <w:spacing w:after="14"/>
              <w:ind w:left="14"/>
              <w:jc w:val="left"/>
            </w:pPr>
            <w:r>
              <w:rPr>
                <w:rFonts w:hint="default" w:ascii="Times New Roman" w:hAnsi="Times New Roman"/>
                <w:b w:val="false"/>
                <w:i w:val="false"/>
                <w:color w:val="000000"/>
                <w:sz w:val="24"/>
              </w:rPr>
              <w:t>0,85</w:t>
            </w:r>
          </w:p>
          <w:p>
            <w:pPr>
              <w:spacing w:after="14"/>
              <w:ind w:left="14"/>
              <w:jc w:val="left"/>
            </w:pPr>
            <w:r>
              <w:rPr>
                <w:rFonts w:hint="default" w:ascii="Times New Roman" w:hAnsi="Times New Roman"/>
                <w:b w:val="false"/>
                <w:i w:val="false"/>
                <w:color w:val="000000"/>
                <w:sz w:val="24"/>
              </w:rPr>
              <w:t>0,81</w:t>
            </w:r>
          </w:p>
          <w:p>
            <w:pPr>
              <w:spacing w:after="14"/>
              <w:ind w:left="14"/>
              <w:jc w:val="left"/>
            </w:pPr>
            <w:r>
              <w:rPr>
                <w:rFonts w:hint="default" w:ascii="Times New Roman" w:hAnsi="Times New Roman"/>
                <w:b w:val="false"/>
                <w:i w:val="false"/>
                <w:color w:val="000000"/>
                <w:sz w:val="24"/>
              </w:rPr>
              <w:t>0,71</w:t>
            </w:r>
          </w:p>
          <w:p>
            <w:pPr>
              <w:spacing w:after="14"/>
              <w:ind w:left="14"/>
              <w:jc w:val="left"/>
            </w:pPr>
            <w:r>
              <w:rPr>
                <w:rFonts w:hint="default" w:ascii="Times New Roman" w:hAnsi="Times New Roman"/>
                <w:b w:val="false"/>
                <w:i w:val="false"/>
                <w:color w:val="000000"/>
                <w:sz w:val="24"/>
              </w:rPr>
              <w:t>0,79</w:t>
            </w:r>
          </w:p>
          <w:p>
            <w:pPr>
              <w:spacing w:after="14"/>
              <w:ind w:left="14"/>
              <w:jc w:val="left"/>
            </w:pPr>
            <w:r>
              <w:rPr>
                <w:rFonts w:hint="default" w:ascii="Times New Roman" w:hAnsi="Times New Roman"/>
                <w:b w:val="false"/>
                <w:i w:val="false"/>
                <w:color w:val="000000"/>
                <w:sz w:val="24"/>
              </w:rPr>
              <w:t>0,67</w:t>
            </w:r>
          </w:p>
          <w:p>
            <w:pPr>
              <w:spacing w:after="14"/>
              <w:ind w:left="14"/>
              <w:jc w:val="left"/>
            </w:pPr>
            <w:r>
              <w:rPr>
                <w:rFonts w:hint="default" w:ascii="Times New Roman" w:hAnsi="Times New Roman"/>
                <w:b w:val="false"/>
                <w:i w:val="false"/>
                <w:color w:val="000000"/>
                <w:sz w:val="24"/>
              </w:rPr>
              <w:t>0,76</w:t>
            </w:r>
          </w:p>
          <w:p>
            <w:pPr>
              <w:spacing w:after="14"/>
              <w:ind w:left="14"/>
              <w:jc w:val="left"/>
            </w:pPr>
            <w:r>
              <w:rPr>
                <w:rFonts w:hint="default" w:ascii="Times New Roman" w:hAnsi="Times New Roman"/>
                <w:b w:val="false"/>
                <w:i w:val="false"/>
                <w:color w:val="000000"/>
                <w:sz w:val="24"/>
              </w:rPr>
              <w:t>0,61</w:t>
            </w:r>
          </w:p>
          <w:p>
            <w:pPr>
              <w:spacing w:after="14"/>
              <w:ind w:left="14"/>
              <w:jc w:val="left"/>
            </w:pPr>
            <w:r>
              <w:rPr>
                <w:rFonts w:hint="default" w:ascii="Times New Roman" w:hAnsi="Times New Roman"/>
                <w:b w:val="false"/>
                <w:i w:val="false"/>
                <w:color w:val="000000"/>
                <w:sz w:val="24"/>
              </w:rPr>
              <w:t>0,71</w:t>
            </w:r>
          </w:p>
          <w:p>
            <w:pPr>
              <w:spacing w:after="14"/>
              <w:ind w:left="14"/>
              <w:jc w:val="left"/>
            </w:pPr>
            <w:r>
              <w:rPr>
                <w:rFonts w:hint="default" w:ascii="Times New Roman" w:hAnsi="Times New Roman"/>
                <w:b w:val="false"/>
                <w:i w:val="false"/>
                <w:color w:val="000000"/>
                <w:sz w:val="24"/>
              </w:rPr>
              <w:t>0,54</w:t>
            </w:r>
          </w:p>
          <w:p>
            <w:pPr>
              <w:spacing w:after="0"/>
              <w:ind w:left="14"/>
              <w:jc w:val="left"/>
            </w:pPr>
            <w:r>
              <w:rPr>
                <w:rFonts w:hint="default" w:ascii="Times New Roman" w:hAnsi="Times New Roman"/>
                <w:b w:val="false"/>
                <w:i w:val="false"/>
                <w:color w:val="000000"/>
                <w:sz w:val="24"/>
              </w:rPr>
              <w:t>0,63</w:t>
            </w:r>
          </w:p>
        </w:tc>
        <w:tc>
          <w:tcPr>
            <w:tcW w:w="111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0,73</w:t>
            </w:r>
          </w:p>
          <w:p>
            <w:pPr>
              <w:spacing w:after="14"/>
              <w:ind w:left="14"/>
              <w:jc w:val="left"/>
            </w:pPr>
            <w:r>
              <w:rPr>
                <w:rFonts w:hint="default" w:ascii="Times New Roman" w:hAnsi="Times New Roman"/>
                <w:b w:val="false"/>
                <w:i w:val="false"/>
                <w:color w:val="000000"/>
                <w:sz w:val="24"/>
              </w:rPr>
              <w:t>0,80</w:t>
            </w:r>
          </w:p>
          <w:p>
            <w:pPr>
              <w:spacing w:after="14"/>
              <w:ind w:left="14"/>
              <w:jc w:val="left"/>
            </w:pPr>
            <w:r>
              <w:rPr>
                <w:rFonts w:hint="default" w:ascii="Times New Roman" w:hAnsi="Times New Roman"/>
                <w:b w:val="false"/>
                <w:i w:val="false"/>
                <w:color w:val="000000"/>
                <w:sz w:val="24"/>
              </w:rPr>
              <w:t>0,74</w:t>
            </w:r>
          </w:p>
          <w:p>
            <w:pPr>
              <w:spacing w:after="14"/>
              <w:ind w:left="14"/>
              <w:jc w:val="left"/>
            </w:pPr>
            <w:r>
              <w:rPr>
                <w:rFonts w:hint="default" w:ascii="Times New Roman" w:hAnsi="Times New Roman"/>
                <w:b w:val="false"/>
                <w:i w:val="false"/>
                <w:color w:val="000000"/>
                <w:sz w:val="24"/>
              </w:rPr>
              <w:t>0,63</w:t>
            </w:r>
          </w:p>
          <w:p>
            <w:pPr>
              <w:spacing w:after="14"/>
              <w:ind w:left="14"/>
              <w:jc w:val="left"/>
            </w:pPr>
            <w:r>
              <w:rPr>
                <w:rFonts w:hint="default" w:ascii="Times New Roman" w:hAnsi="Times New Roman"/>
                <w:b w:val="false"/>
                <w:i w:val="false"/>
                <w:color w:val="000000"/>
                <w:sz w:val="24"/>
              </w:rPr>
              <w:t>0,71</w:t>
            </w:r>
          </w:p>
          <w:p>
            <w:pPr>
              <w:spacing w:after="14"/>
              <w:ind w:left="14"/>
              <w:jc w:val="left"/>
            </w:pPr>
            <w:r>
              <w:rPr>
                <w:rFonts w:hint="default" w:ascii="Times New Roman" w:hAnsi="Times New Roman"/>
                <w:b w:val="false"/>
                <w:i w:val="false"/>
                <w:color w:val="000000"/>
                <w:sz w:val="24"/>
              </w:rPr>
              <w:t>0,57</w:t>
            </w:r>
          </w:p>
          <w:p>
            <w:pPr>
              <w:spacing w:after="14"/>
              <w:ind w:left="14"/>
              <w:jc w:val="left"/>
            </w:pPr>
            <w:r>
              <w:rPr>
                <w:rFonts w:hint="default" w:ascii="Times New Roman" w:hAnsi="Times New Roman"/>
                <w:b w:val="false"/>
                <w:i w:val="false"/>
                <w:color w:val="000000"/>
                <w:sz w:val="24"/>
              </w:rPr>
              <w:t>0,66</w:t>
            </w:r>
          </w:p>
          <w:p>
            <w:pPr>
              <w:spacing w:after="14"/>
              <w:ind w:left="14"/>
              <w:jc w:val="left"/>
            </w:pPr>
            <w:r>
              <w:rPr>
                <w:rFonts w:hint="default" w:ascii="Times New Roman" w:hAnsi="Times New Roman"/>
                <w:b w:val="false"/>
                <w:i w:val="false"/>
                <w:color w:val="000000"/>
                <w:sz w:val="24"/>
              </w:rPr>
              <w:t>0,50</w:t>
            </w:r>
          </w:p>
          <w:p>
            <w:pPr>
              <w:spacing w:after="14"/>
              <w:ind w:left="14"/>
              <w:jc w:val="left"/>
            </w:pPr>
            <w:r>
              <w:rPr>
                <w:rFonts w:hint="default" w:ascii="Times New Roman" w:hAnsi="Times New Roman"/>
                <w:b w:val="false"/>
                <w:i w:val="false"/>
                <w:color w:val="000000"/>
                <w:sz w:val="24"/>
              </w:rPr>
              <w:t>0,58</w:t>
            </w:r>
          </w:p>
          <w:p>
            <w:pPr>
              <w:spacing w:after="14"/>
              <w:ind w:left="14"/>
              <w:jc w:val="left"/>
            </w:pPr>
            <w:r>
              <w:rPr>
                <w:rFonts w:hint="default" w:ascii="Times New Roman" w:hAnsi="Times New Roman"/>
                <w:b w:val="false"/>
                <w:i w:val="false"/>
                <w:color w:val="000000"/>
                <w:sz w:val="24"/>
              </w:rPr>
              <w:t>0,37</w:t>
            </w:r>
          </w:p>
          <w:p>
            <w:pPr>
              <w:spacing w:after="0"/>
              <w:ind w:left="14"/>
              <w:jc w:val="left"/>
            </w:pPr>
            <w:r>
              <w:rPr>
                <w:rFonts w:hint="default" w:ascii="Times New Roman" w:hAnsi="Times New Roman"/>
                <w:b w:val="false"/>
                <w:i w:val="false"/>
                <w:color w:val="000000"/>
                <w:sz w:val="24"/>
              </w:rPr>
              <w:t>0,45</w:t>
            </w:r>
          </w:p>
        </w:tc>
        <w:tc>
          <w:tcPr>
            <w:tcW w:w="133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0,68</w:t>
            </w:r>
          </w:p>
          <w:p>
            <w:pPr>
              <w:spacing w:after="14"/>
              <w:ind w:left="14"/>
              <w:jc w:val="left"/>
            </w:pPr>
            <w:r>
              <w:rPr>
                <w:rFonts w:hint="default" w:ascii="Times New Roman" w:hAnsi="Times New Roman"/>
                <w:b w:val="false"/>
                <w:i w:val="false"/>
                <w:color w:val="000000"/>
                <w:sz w:val="24"/>
              </w:rPr>
              <w:t>0,74</w:t>
            </w:r>
          </w:p>
          <w:p>
            <w:pPr>
              <w:spacing w:after="14"/>
              <w:ind w:left="14"/>
              <w:jc w:val="left"/>
            </w:pPr>
            <w:r>
              <w:rPr>
                <w:rFonts w:hint="default" w:ascii="Times New Roman" w:hAnsi="Times New Roman"/>
                <w:b w:val="false"/>
                <w:i w:val="false"/>
                <w:color w:val="000000"/>
                <w:sz w:val="24"/>
              </w:rPr>
              <w:t>0,67</w:t>
            </w:r>
          </w:p>
          <w:p>
            <w:pPr>
              <w:spacing w:after="14"/>
              <w:ind w:left="14"/>
              <w:jc w:val="left"/>
            </w:pPr>
            <w:r>
              <w:rPr>
                <w:rFonts w:hint="default" w:ascii="Times New Roman" w:hAnsi="Times New Roman"/>
                <w:b w:val="false"/>
                <w:i w:val="false"/>
                <w:color w:val="000000"/>
                <w:sz w:val="24"/>
              </w:rPr>
              <w:t>0,55</w:t>
            </w:r>
          </w:p>
          <w:p>
            <w:pPr>
              <w:spacing w:after="14"/>
              <w:ind w:left="14"/>
              <w:jc w:val="left"/>
            </w:pPr>
            <w:r>
              <w:rPr>
                <w:rFonts w:hint="default" w:ascii="Times New Roman" w:hAnsi="Times New Roman"/>
                <w:b w:val="false"/>
                <w:i w:val="false"/>
                <w:color w:val="000000"/>
                <w:sz w:val="24"/>
              </w:rPr>
              <w:t>0,61</w:t>
            </w:r>
          </w:p>
          <w:p>
            <w:pPr>
              <w:spacing w:after="14"/>
              <w:ind w:left="14"/>
              <w:jc w:val="left"/>
            </w:pPr>
            <w:r>
              <w:rPr>
                <w:rFonts w:hint="default" w:ascii="Times New Roman" w:hAnsi="Times New Roman"/>
                <w:b w:val="false"/>
                <w:i w:val="false"/>
                <w:color w:val="000000"/>
                <w:sz w:val="24"/>
              </w:rPr>
              <w:t>0,47</w:t>
            </w:r>
          </w:p>
          <w:p>
            <w:pPr>
              <w:spacing w:after="14"/>
              <w:ind w:left="14"/>
              <w:jc w:val="left"/>
            </w:pPr>
            <w:r>
              <w:rPr>
                <w:rFonts w:hint="default" w:ascii="Times New Roman" w:hAnsi="Times New Roman"/>
                <w:b w:val="false"/>
                <w:i w:val="false"/>
                <w:color w:val="000000"/>
                <w:sz w:val="24"/>
              </w:rPr>
              <w:t>0,54</w:t>
            </w:r>
          </w:p>
          <w:p>
            <w:pPr>
              <w:spacing w:after="14"/>
              <w:ind w:left="14"/>
              <w:jc w:val="left"/>
            </w:pPr>
            <w:r>
              <w:rPr>
                <w:rFonts w:hint="default" w:ascii="Times New Roman" w:hAnsi="Times New Roman"/>
                <w:b w:val="false"/>
                <w:i w:val="false"/>
                <w:color w:val="000000"/>
                <w:sz w:val="24"/>
              </w:rPr>
              <w:t>0,36</w:t>
            </w:r>
          </w:p>
          <w:p>
            <w:pPr>
              <w:spacing w:after="14"/>
              <w:ind w:left="14"/>
              <w:jc w:val="left"/>
            </w:pPr>
            <w:r>
              <w:rPr>
                <w:rFonts w:hint="default" w:ascii="Times New Roman" w:hAnsi="Times New Roman"/>
                <w:b w:val="false"/>
                <w:i w:val="false"/>
                <w:color w:val="000000"/>
                <w:sz w:val="24"/>
              </w:rPr>
              <w:t>0,41</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21"/>
    <w:bookmarkStart w:name="637606277" w:id="4822"/>
    <w:p>
      <w:pPr>
        <w:spacing w:before="120" w:after="120" w:line="240"/>
        <w:ind w:left="0"/>
        <w:jc w:val="both"/>
      </w:pPr>
      <w:r>
        <w:rPr>
          <w:rFonts w:hint="default" w:ascii="Times New Roman" w:hAnsi="Times New Roman"/>
          <w:b/>
          <w:i w:val="false"/>
          <w:color w:val="000000"/>
          <w:sz w:val="24"/>
        </w:rPr>
        <w:t>Допустимый длительный ток для проводов и шнуров с резиновой и поливинилхлоридной изоляцией с медными жилами</w:t>
      </w:r>
    </w:p>
    <w:bookmarkEnd w:id="4822"/>
    <w:bookmarkStart w:name="637606278" w:id="482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w:t>
      </w:r>
    </w:p>
    <w:bookmarkEnd w:id="4823"/>
    <w:bookmarkStart w:name="637606279" w:id="4824"/>
    <w:tbl>
      <w:tblPr>
        <w:tblW w:w="18660" w:type="auto"/>
        <w:tblCellSpacing w:w="0" w:type="auto"/>
        <w:tblBorders>
          <w:top w:val="none"/>
          <w:left w:val="none"/>
          <w:bottom w:val="none"/>
          <w:right w:val="none"/>
          <w:insideH w:val="none"/>
          <w:insideV w:val="none"/>
        </w:tblBorders>
        <w:tblLayout/>
      </w:tblPr>
      <w:tblGrid>
        <w:gridCol w:w="3268"/>
        <w:gridCol w:w="1857"/>
        <w:gridCol w:w="2117"/>
        <w:gridCol w:w="2117"/>
        <w:gridCol w:w="2117"/>
        <w:gridCol w:w="2117"/>
        <w:gridCol w:w="2407"/>
      </w:tblGrid>
      <w:tr>
        <w:trPr>
          <w:trHeight w:val="30" w:hRule="atLeast"/>
        </w:trPr>
        <w:tc>
          <w:tcPr>
            <w:tcW w:w="326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проводов, проложенных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185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одной трубе</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 одножильных</w:t>
            </w:r>
          </w:p>
        </w:tc>
        <w:tc>
          <w:tcPr>
            <w:tcW w:w="2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 одножильных</w:t>
            </w:r>
          </w:p>
        </w:tc>
        <w:tc>
          <w:tcPr>
            <w:tcW w:w="2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 одножильных</w:t>
            </w:r>
          </w:p>
        </w:tc>
        <w:tc>
          <w:tcPr>
            <w:tcW w:w="2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одного двухжильного</w:t>
            </w:r>
          </w:p>
        </w:tc>
        <w:tc>
          <w:tcPr>
            <w:tcW w:w="2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одного трехжильного</w:t>
            </w:r>
          </w:p>
        </w:tc>
      </w:tr>
      <w:tr>
        <w:trPr>
          <w:trHeight w:val="30" w:hRule="atLeast"/>
        </w:trPr>
        <w:tc>
          <w:tcPr>
            <w:tcW w:w="326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0,5</w:t>
            </w:r>
          </w:p>
          <w:p>
            <w:pPr>
              <w:spacing w:after="14"/>
              <w:ind w:left="14"/>
              <w:jc w:val="left"/>
            </w:pPr>
            <w:r>
              <w:rPr>
                <w:rFonts w:hint="default" w:ascii="Times New Roman" w:hAnsi="Times New Roman"/>
                <w:b w:val="false"/>
                <w:i w:val="false"/>
                <w:color w:val="000000"/>
                <w:sz w:val="24"/>
              </w:rPr>
              <w:t>0,75</w:t>
            </w:r>
          </w:p>
          <w:p>
            <w:pPr>
              <w:spacing w:after="14"/>
              <w:ind w:left="14"/>
              <w:jc w:val="left"/>
            </w:pPr>
            <w:r>
              <w:rPr>
                <w:rFonts w:hint="default" w:ascii="Times New Roman" w:hAnsi="Times New Roman"/>
                <w:b w:val="false"/>
                <w:i w:val="false"/>
                <w:color w:val="000000"/>
                <w:sz w:val="24"/>
              </w:rPr>
              <w:t>1</w:t>
            </w:r>
          </w:p>
          <w:p>
            <w:pPr>
              <w:spacing w:after="0"/>
              <w:ind w:left="14"/>
              <w:jc w:val="left"/>
            </w:pPr>
            <w:r>
              <w:rPr>
                <w:rFonts w:hint="default" w:ascii="Times New Roman" w:hAnsi="Times New Roman"/>
                <w:b w:val="false"/>
                <w:i w:val="false"/>
                <w:color w:val="000000"/>
                <w:sz w:val="24"/>
              </w:rPr>
              <w:t>1,2</w:t>
            </w:r>
          </w:p>
        </w:tc>
        <w:tc>
          <w:tcPr>
            <w:tcW w:w="185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17</w:t>
            </w:r>
          </w:p>
          <w:p>
            <w:pPr>
              <w:spacing w:after="0"/>
              <w:ind w:left="14"/>
              <w:jc w:val="left"/>
            </w:pPr>
            <w:r>
              <w:rPr>
                <w:rFonts w:hint="default" w:ascii="Times New Roman" w:hAnsi="Times New Roman"/>
                <w:b w:val="false"/>
                <w:i w:val="false"/>
                <w:color w:val="000000"/>
                <w:sz w:val="24"/>
              </w:rPr>
              <w:t>20</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16</w:t>
            </w:r>
          </w:p>
          <w:p>
            <w:pPr>
              <w:spacing w:after="0"/>
              <w:ind w:left="14"/>
              <w:jc w:val="left"/>
            </w:pPr>
            <w:r>
              <w:rPr>
                <w:rFonts w:hint="default" w:ascii="Times New Roman" w:hAnsi="Times New Roman"/>
                <w:b w:val="false"/>
                <w:i w:val="false"/>
                <w:color w:val="000000"/>
                <w:sz w:val="24"/>
              </w:rPr>
              <w:t>18</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15</w:t>
            </w:r>
          </w:p>
          <w:p>
            <w:pPr>
              <w:spacing w:after="0"/>
              <w:ind w:left="14"/>
              <w:jc w:val="left"/>
            </w:pPr>
            <w:r>
              <w:rPr>
                <w:rFonts w:hint="default" w:ascii="Times New Roman" w:hAnsi="Times New Roman"/>
                <w:b w:val="false"/>
                <w:i w:val="false"/>
                <w:color w:val="000000"/>
                <w:sz w:val="24"/>
              </w:rPr>
              <w:t>16</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14</w:t>
            </w:r>
          </w:p>
          <w:p>
            <w:pPr>
              <w:spacing w:after="0"/>
              <w:ind w:left="14"/>
              <w:jc w:val="left"/>
            </w:pPr>
            <w:r>
              <w:rPr>
                <w:rFonts w:hint="default" w:ascii="Times New Roman" w:hAnsi="Times New Roman"/>
                <w:b w:val="false"/>
                <w:i w:val="false"/>
                <w:color w:val="000000"/>
                <w:sz w:val="24"/>
              </w:rPr>
              <w:t>15</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15</w:t>
            </w:r>
          </w:p>
          <w:p>
            <w:pPr>
              <w:spacing w:after="0"/>
              <w:ind w:left="14"/>
              <w:jc w:val="left"/>
            </w:pPr>
            <w:r>
              <w:rPr>
                <w:rFonts w:hint="default" w:ascii="Times New Roman" w:hAnsi="Times New Roman"/>
                <w:b w:val="false"/>
                <w:i w:val="false"/>
                <w:color w:val="000000"/>
                <w:sz w:val="24"/>
              </w:rPr>
              <w:t>16</w:t>
            </w:r>
          </w:p>
        </w:tc>
        <w:tc>
          <w:tcPr>
            <w:tcW w:w="240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14</w:t>
            </w:r>
          </w:p>
          <w:p>
            <w:pPr>
              <w:spacing w:after="0"/>
              <w:ind w:left="14"/>
              <w:jc w:val="left"/>
            </w:pPr>
            <w:r>
              <w:rPr>
                <w:rFonts w:hint="default" w:ascii="Times New Roman" w:hAnsi="Times New Roman"/>
                <w:b w:val="false"/>
                <w:i w:val="false"/>
                <w:color w:val="000000"/>
                <w:sz w:val="24"/>
              </w:rPr>
              <w:t>14,5</w:t>
            </w:r>
          </w:p>
        </w:tc>
      </w:tr>
      <w:tr>
        <w:trPr>
          <w:trHeight w:val="30" w:hRule="atLeast"/>
        </w:trPr>
        <w:tc>
          <w:tcPr>
            <w:tcW w:w="326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5</w:t>
            </w:r>
          </w:p>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8</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0"/>
              <w:ind w:left="14"/>
              <w:jc w:val="left"/>
            </w:pPr>
            <w:r>
              <w:rPr>
                <w:rFonts w:hint="default" w:ascii="Times New Roman" w:hAnsi="Times New Roman"/>
                <w:b w:val="false"/>
                <w:i w:val="false"/>
                <w:color w:val="000000"/>
                <w:sz w:val="24"/>
              </w:rPr>
              <w:t>400</w:t>
            </w:r>
          </w:p>
        </w:tc>
        <w:tc>
          <w:tcPr>
            <w:tcW w:w="185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26</w:t>
            </w:r>
          </w:p>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34</w:t>
            </w:r>
          </w:p>
          <w:p>
            <w:pPr>
              <w:spacing w:after="14"/>
              <w:ind w:left="14"/>
              <w:jc w:val="left"/>
            </w:pPr>
            <w:r>
              <w:rPr>
                <w:rFonts w:hint="default" w:ascii="Times New Roman" w:hAnsi="Times New Roman"/>
                <w:b w:val="false"/>
                <w:i w:val="false"/>
                <w:color w:val="000000"/>
                <w:sz w:val="24"/>
              </w:rPr>
              <w:t>41</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62</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510</w:t>
            </w:r>
          </w:p>
          <w:p>
            <w:pPr>
              <w:spacing w:after="14"/>
              <w:ind w:left="14"/>
              <w:jc w:val="left"/>
            </w:pPr>
            <w:r>
              <w:rPr>
                <w:rFonts w:hint="default" w:ascii="Times New Roman" w:hAnsi="Times New Roman"/>
                <w:b w:val="false"/>
                <w:i w:val="false"/>
                <w:color w:val="000000"/>
                <w:sz w:val="24"/>
              </w:rPr>
              <w:t>605</w:t>
            </w:r>
          </w:p>
          <w:p>
            <w:pPr>
              <w:spacing w:after="14"/>
              <w:ind w:left="14"/>
              <w:jc w:val="left"/>
            </w:pPr>
            <w:r>
              <w:rPr>
                <w:rFonts w:hint="default" w:ascii="Times New Roman" w:hAnsi="Times New Roman"/>
                <w:b w:val="false"/>
                <w:i w:val="false"/>
                <w:color w:val="000000"/>
                <w:sz w:val="24"/>
              </w:rPr>
              <w:t>695</w:t>
            </w:r>
          </w:p>
          <w:p>
            <w:pPr>
              <w:spacing w:after="0"/>
              <w:ind w:left="14"/>
              <w:jc w:val="left"/>
            </w:pPr>
            <w:r>
              <w:rPr>
                <w:rFonts w:hint="default" w:ascii="Times New Roman" w:hAnsi="Times New Roman"/>
                <w:b w:val="false"/>
                <w:i w:val="false"/>
                <w:color w:val="000000"/>
                <w:sz w:val="24"/>
              </w:rPr>
              <w:t>830</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24</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54</w:t>
            </w:r>
          </w:p>
          <w:p>
            <w:pPr>
              <w:spacing w:after="14"/>
              <w:ind w:left="14"/>
              <w:jc w:val="left"/>
            </w:pPr>
            <w:r>
              <w:rPr>
                <w:rFonts w:hint="default" w:ascii="Times New Roman" w:hAnsi="Times New Roman"/>
                <w:b w:val="false"/>
                <w:i w:val="false"/>
                <w:color w:val="000000"/>
                <w:sz w:val="24"/>
              </w:rPr>
              <w:t>770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315</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w:t>
            </w:r>
          </w:p>
          <w:p>
            <w:pPr>
              <w:spacing w:after="14"/>
              <w:ind w:left="14"/>
              <w:jc w:val="left"/>
            </w:pPr>
            <w:r>
              <w:rPr>
                <w:rFonts w:hint="default" w:ascii="Times New Roman" w:hAnsi="Times New Roman"/>
                <w:b w:val="false"/>
                <w:i w:val="false"/>
                <w:color w:val="000000"/>
                <w:sz w:val="24"/>
              </w:rPr>
              <w:t>22</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39</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51</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26</w:t>
            </w:r>
          </w:p>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34</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11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18</w:t>
            </w:r>
          </w:p>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37</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48</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195</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40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24</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31</w:t>
            </w:r>
          </w:p>
          <w:p>
            <w:pPr>
              <w:spacing w:after="14"/>
              <w:ind w:left="14"/>
              <w:jc w:val="left"/>
            </w:pPr>
            <w:r>
              <w:rPr>
                <w:rFonts w:hint="default" w:ascii="Times New Roman" w:hAnsi="Times New Roman"/>
                <w:b w:val="false"/>
                <w:i w:val="false"/>
                <w:color w:val="000000"/>
                <w:sz w:val="24"/>
              </w:rPr>
              <w:t>34</w:t>
            </w:r>
          </w:p>
          <w:p>
            <w:pPr>
              <w:spacing w:after="14"/>
              <w:ind w:left="14"/>
              <w:jc w:val="left"/>
            </w:pPr>
            <w:r>
              <w:rPr>
                <w:rFonts w:hint="default" w:ascii="Times New Roman" w:hAnsi="Times New Roman"/>
                <w:b w:val="false"/>
                <w:i w:val="false"/>
                <w:color w:val="000000"/>
                <w:sz w:val="24"/>
              </w:rPr>
              <w:t>43</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1775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24"/>
    <w:bookmarkStart w:name="637606280" w:id="4825"/>
    <w:p>
      <w:pPr>
        <w:spacing w:before="120" w:after="120" w:line="240"/>
        <w:ind w:left="0"/>
        <w:jc w:val="both"/>
      </w:pPr>
      <w:r>
        <w:rPr>
          <w:rFonts w:hint="default" w:ascii="Times New Roman" w:hAnsi="Times New Roman"/>
          <w:b/>
          <w:i w:val="false"/>
          <w:color w:val="000000"/>
          <w:sz w:val="24"/>
        </w:rPr>
        <w:t>Допустимый длительный ток для проводов с резиновой и поливинилхлоридной изоляцией с алюминиевыми жилами</w:t>
      </w:r>
    </w:p>
    <w:bookmarkEnd w:id="4825"/>
    <w:bookmarkStart w:name="637606281" w:id="482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w:t>
      </w:r>
    </w:p>
    <w:bookmarkEnd w:id="4826"/>
    <w:bookmarkStart w:name="637606282" w:id="4827"/>
    <w:tbl>
      <w:tblPr>
        <w:tblW w:w="18700" w:type="auto"/>
        <w:tblCellSpacing w:w="0" w:type="auto"/>
        <w:tblBorders>
          <w:top w:val="none"/>
          <w:left w:val="none"/>
          <w:bottom w:val="none"/>
          <w:right w:val="none"/>
          <w:insideH w:val="none"/>
          <w:insideV w:val="none"/>
        </w:tblBorders>
        <w:tblLayout/>
      </w:tblPr>
      <w:tblGrid>
        <w:gridCol w:w="2703"/>
        <w:gridCol w:w="1826"/>
        <w:gridCol w:w="2281"/>
        <w:gridCol w:w="2086"/>
        <w:gridCol w:w="1826"/>
        <w:gridCol w:w="2899"/>
        <w:gridCol w:w="2379"/>
      </w:tblGrid>
      <w:tr>
        <w:trPr>
          <w:trHeight w:val="30" w:hRule="atLeast"/>
        </w:trPr>
        <w:tc>
          <w:tcPr>
            <w:tcW w:w="270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проводов, проложенных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182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одной трубе</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2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 одножильных</w:t>
            </w:r>
          </w:p>
        </w:tc>
        <w:tc>
          <w:tcPr>
            <w:tcW w:w="20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 одножильных</w:t>
            </w:r>
          </w:p>
        </w:tc>
        <w:tc>
          <w:tcPr>
            <w:tcW w:w="18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 одножильных</w:t>
            </w:r>
          </w:p>
        </w:tc>
        <w:tc>
          <w:tcPr>
            <w:tcW w:w="28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одного двух жильного</w:t>
            </w:r>
          </w:p>
        </w:tc>
        <w:tc>
          <w:tcPr>
            <w:tcW w:w="2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одного трехжильного</w:t>
            </w:r>
          </w:p>
        </w:tc>
      </w:tr>
      <w:tr>
        <w:trPr>
          <w:trHeight w:val="30" w:hRule="atLeast"/>
        </w:trPr>
        <w:tc>
          <w:tcPr>
            <w:tcW w:w="2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2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0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8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8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r>
      <w:tr>
        <w:trPr>
          <w:trHeight w:val="30" w:hRule="atLeast"/>
        </w:trPr>
        <w:tc>
          <w:tcPr>
            <w:tcW w:w="270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5</w:t>
            </w:r>
          </w:p>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8</w:t>
            </w:r>
          </w:p>
          <w:p>
            <w:pPr>
              <w:spacing w:after="0"/>
              <w:ind w:left="14"/>
              <w:jc w:val="left"/>
            </w:pPr>
            <w:r>
              <w:rPr>
                <w:rFonts w:hint="default" w:ascii="Times New Roman" w:hAnsi="Times New Roman"/>
                <w:b w:val="false"/>
                <w:i w:val="false"/>
                <w:color w:val="000000"/>
                <w:sz w:val="24"/>
              </w:rPr>
              <w:t>10</w:t>
            </w:r>
          </w:p>
        </w:tc>
        <w:tc>
          <w:tcPr>
            <w:tcW w:w="182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24</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36</w:t>
            </w:r>
          </w:p>
          <w:p>
            <w:pPr>
              <w:spacing w:after="14"/>
              <w:ind w:left="14"/>
              <w:jc w:val="left"/>
            </w:pPr>
            <w:r>
              <w:rPr>
                <w:rFonts w:hint="default" w:ascii="Times New Roman" w:hAnsi="Times New Roman"/>
                <w:b w:val="false"/>
                <w:i w:val="false"/>
                <w:color w:val="000000"/>
                <w:sz w:val="24"/>
              </w:rPr>
              <w:t>39</w:t>
            </w:r>
          </w:p>
          <w:p>
            <w:pPr>
              <w:spacing w:after="14"/>
              <w:ind w:left="14"/>
              <w:jc w:val="left"/>
            </w:pPr>
            <w:r>
              <w:rPr>
                <w:rFonts w:hint="default" w:ascii="Times New Roman" w:hAnsi="Times New Roman"/>
                <w:b w:val="false"/>
                <w:i w:val="false"/>
                <w:color w:val="000000"/>
                <w:sz w:val="24"/>
              </w:rPr>
              <w:t>46</w:t>
            </w:r>
          </w:p>
          <w:p>
            <w:pPr>
              <w:spacing w:after="0"/>
              <w:ind w:left="14"/>
              <w:jc w:val="left"/>
            </w:pPr>
            <w:r>
              <w:rPr>
                <w:rFonts w:hint="default" w:ascii="Times New Roman" w:hAnsi="Times New Roman"/>
                <w:b w:val="false"/>
                <w:i w:val="false"/>
                <w:color w:val="000000"/>
                <w:sz w:val="24"/>
              </w:rPr>
              <w:t>60</w:t>
            </w:r>
          </w:p>
        </w:tc>
        <w:tc>
          <w:tcPr>
            <w:tcW w:w="22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24</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36</w:t>
            </w:r>
          </w:p>
          <w:p>
            <w:pPr>
              <w:spacing w:after="14"/>
              <w:ind w:left="14"/>
              <w:jc w:val="left"/>
            </w:pPr>
            <w:r>
              <w:rPr>
                <w:rFonts w:hint="default" w:ascii="Times New Roman" w:hAnsi="Times New Roman"/>
                <w:b w:val="false"/>
                <w:i w:val="false"/>
                <w:color w:val="000000"/>
                <w:sz w:val="24"/>
              </w:rPr>
              <w:t>43</w:t>
            </w:r>
          </w:p>
          <w:p>
            <w:pPr>
              <w:spacing w:after="0"/>
              <w:ind w:left="14"/>
              <w:jc w:val="left"/>
            </w:pPr>
            <w:r>
              <w:rPr>
                <w:rFonts w:hint="default" w:ascii="Times New Roman" w:hAnsi="Times New Roman"/>
                <w:b w:val="false"/>
                <w:i w:val="false"/>
                <w:color w:val="000000"/>
                <w:sz w:val="24"/>
              </w:rPr>
              <w:t>50</w:t>
            </w:r>
          </w:p>
        </w:tc>
        <w:tc>
          <w:tcPr>
            <w:tcW w:w="208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18</w:t>
            </w:r>
          </w:p>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22</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40</w:t>
            </w:r>
          </w:p>
          <w:p>
            <w:pPr>
              <w:spacing w:after="0"/>
              <w:ind w:left="14"/>
              <w:jc w:val="left"/>
            </w:pPr>
            <w:r>
              <w:rPr>
                <w:rFonts w:hint="default" w:ascii="Times New Roman" w:hAnsi="Times New Roman"/>
                <w:b w:val="false"/>
                <w:i w:val="false"/>
                <w:color w:val="000000"/>
                <w:sz w:val="24"/>
              </w:rPr>
              <w:t>47</w:t>
            </w:r>
          </w:p>
        </w:tc>
        <w:tc>
          <w:tcPr>
            <w:tcW w:w="182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37</w:t>
            </w:r>
          </w:p>
          <w:p>
            <w:pPr>
              <w:spacing w:after="0"/>
              <w:ind w:left="14"/>
              <w:jc w:val="left"/>
            </w:pPr>
            <w:r>
              <w:rPr>
                <w:rFonts w:hint="default" w:ascii="Times New Roman" w:hAnsi="Times New Roman"/>
                <w:b w:val="false"/>
                <w:i w:val="false"/>
                <w:color w:val="000000"/>
                <w:sz w:val="24"/>
              </w:rPr>
              <w:t>39</w:t>
            </w:r>
          </w:p>
        </w:tc>
        <w:tc>
          <w:tcPr>
            <w:tcW w:w="28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w:t>
            </w:r>
          </w:p>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22</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31</w:t>
            </w:r>
          </w:p>
          <w:p>
            <w:pPr>
              <w:spacing w:after="14"/>
              <w:ind w:left="14"/>
              <w:jc w:val="left"/>
            </w:pPr>
            <w:r>
              <w:rPr>
                <w:rFonts w:hint="default" w:ascii="Times New Roman" w:hAnsi="Times New Roman"/>
                <w:b w:val="false"/>
                <w:i w:val="false"/>
                <w:color w:val="000000"/>
                <w:sz w:val="24"/>
              </w:rPr>
              <w:t>38</w:t>
            </w:r>
          </w:p>
          <w:p>
            <w:pPr>
              <w:spacing w:after="0"/>
              <w:ind w:left="14"/>
              <w:jc w:val="left"/>
            </w:pPr>
            <w:r>
              <w:rPr>
                <w:rFonts w:hint="default" w:ascii="Times New Roman" w:hAnsi="Times New Roman"/>
                <w:b w:val="false"/>
                <w:i w:val="false"/>
                <w:color w:val="000000"/>
                <w:sz w:val="24"/>
              </w:rPr>
              <w:t>42</w:t>
            </w:r>
          </w:p>
        </w:tc>
        <w:tc>
          <w:tcPr>
            <w:tcW w:w="237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14</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18</w:t>
            </w:r>
          </w:p>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24</w:t>
            </w:r>
          </w:p>
          <w:p>
            <w:pPr>
              <w:spacing w:after="14"/>
              <w:ind w:left="14"/>
              <w:jc w:val="left"/>
            </w:pPr>
            <w:r>
              <w:rPr>
                <w:rFonts w:hint="default" w:ascii="Times New Roman" w:hAnsi="Times New Roman"/>
                <w:b w:val="false"/>
                <w:i w:val="false"/>
                <w:color w:val="000000"/>
                <w:sz w:val="24"/>
              </w:rPr>
              <w:t>26</w:t>
            </w:r>
          </w:p>
          <w:p>
            <w:pPr>
              <w:spacing w:after="14"/>
              <w:ind w:left="14"/>
              <w:jc w:val="left"/>
            </w:pPr>
            <w:r>
              <w:rPr>
                <w:rFonts w:hint="default" w:ascii="Times New Roman" w:hAnsi="Times New Roman"/>
                <w:b w:val="false"/>
                <w:i w:val="false"/>
                <w:color w:val="000000"/>
                <w:sz w:val="24"/>
              </w:rPr>
              <w:t>32</w:t>
            </w:r>
          </w:p>
          <w:p>
            <w:pPr>
              <w:spacing w:after="0"/>
              <w:ind w:left="14"/>
              <w:jc w:val="left"/>
            </w:pPr>
            <w:r>
              <w:rPr>
                <w:rFonts w:hint="default" w:ascii="Times New Roman" w:hAnsi="Times New Roman"/>
                <w:b w:val="false"/>
                <w:i w:val="false"/>
                <w:color w:val="000000"/>
                <w:sz w:val="24"/>
              </w:rPr>
              <w:t>38</w:t>
            </w:r>
          </w:p>
        </w:tc>
      </w:tr>
      <w:tr>
        <w:trPr>
          <w:trHeight w:val="30" w:hRule="atLeast"/>
        </w:trPr>
        <w:tc>
          <w:tcPr>
            <w:tcW w:w="270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0"/>
              <w:ind w:left="14"/>
              <w:jc w:val="left"/>
            </w:pPr>
            <w:r>
              <w:rPr>
                <w:rFonts w:hint="default" w:ascii="Times New Roman" w:hAnsi="Times New Roman"/>
                <w:b w:val="false"/>
                <w:i w:val="false"/>
                <w:color w:val="000000"/>
                <w:sz w:val="24"/>
              </w:rPr>
              <w:t>400</w:t>
            </w:r>
          </w:p>
        </w:tc>
        <w:tc>
          <w:tcPr>
            <w:tcW w:w="182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465</w:t>
            </w:r>
          </w:p>
          <w:p>
            <w:pPr>
              <w:spacing w:after="14"/>
              <w:ind w:left="14"/>
              <w:jc w:val="left"/>
            </w:pPr>
            <w:r>
              <w:rPr>
                <w:rFonts w:hint="default" w:ascii="Times New Roman" w:hAnsi="Times New Roman"/>
                <w:b w:val="false"/>
                <w:i w:val="false"/>
                <w:color w:val="000000"/>
                <w:sz w:val="24"/>
              </w:rPr>
              <w:t>535</w:t>
            </w:r>
          </w:p>
          <w:p>
            <w:pPr>
              <w:spacing w:after="0"/>
              <w:ind w:left="14"/>
              <w:jc w:val="left"/>
            </w:pPr>
            <w:r>
              <w:rPr>
                <w:rFonts w:hint="default" w:ascii="Times New Roman" w:hAnsi="Times New Roman"/>
                <w:b w:val="false"/>
                <w:i w:val="false"/>
                <w:color w:val="000000"/>
                <w:sz w:val="24"/>
              </w:rPr>
              <w:t>645</w:t>
            </w:r>
          </w:p>
        </w:tc>
        <w:tc>
          <w:tcPr>
            <w:tcW w:w="22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08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82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8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230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37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27"/>
    <w:bookmarkStart w:name="637606283" w:id="4828"/>
    <w:p>
      <w:pPr>
        <w:spacing w:before="120" w:after="120" w:line="240"/>
        <w:ind w:left="0"/>
        <w:jc w:val="both"/>
      </w:pPr>
      <w:r>
        <w:rPr>
          <w:rFonts w:hint="default" w:ascii="Times New Roman" w:hAnsi="Times New Roman"/>
          <w:b/>
          <w:i w:val="false"/>
          <w:color w:val="000000"/>
          <w:sz w:val="24"/>
        </w:rPr>
        <w:t>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bookmarkEnd w:id="4828"/>
    <w:bookmarkStart w:name="637606284" w:id="482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w:t>
      </w:r>
    </w:p>
    <w:bookmarkEnd w:id="4829"/>
    <w:bookmarkStart w:name="637606285" w:id="4830"/>
    <w:tbl>
      <w:tblPr>
        <w:tblW w:w="18660" w:type="auto"/>
        <w:tblCellSpacing w:w="0" w:type="auto"/>
        <w:tblBorders>
          <w:top w:val="none"/>
          <w:left w:val="none"/>
          <w:bottom w:val="none"/>
          <w:right w:val="none"/>
          <w:insideH w:val="none"/>
          <w:insideV w:val="none"/>
        </w:tblBorders>
        <w:tblLayout/>
      </w:tblPr>
      <w:tblGrid>
        <w:gridCol w:w="854"/>
        <w:gridCol w:w="898"/>
        <w:gridCol w:w="855"/>
        <w:gridCol w:w="855"/>
        <w:gridCol w:w="11259"/>
        <w:gridCol w:w="380"/>
        <w:gridCol w:w="899"/>
      </w:tblGrid>
      <w:tr>
        <w:trPr>
          <w:trHeight w:val="30" w:hRule="atLeast"/>
        </w:trPr>
        <w:tc>
          <w:tcPr>
            <w:tcW w:w="85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проводов и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8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прокладке</w:t>
            </w:r>
          </w:p>
        </w:tc>
      </w:tr>
      <w:tr>
        <w:trPr>
          <w:trHeight w:val="30" w:hRule="atLeast"/>
        </w:trPr>
        <w:tc>
          <w:tcPr>
            <w:tcW w:w="0" w:type="auto"/>
            <w:vMerge/>
            <w:tcBorders>
              <w:top w:val="nil"/>
              <w:left w:val="single" w:color="cfcfcf" w:sz="8"/>
              <w:bottom w:val="single" w:color="cfcfcf" w:sz="8"/>
              <w:right w:val="single" w:color="cfcfcf" w:sz="8"/>
            </w:tcBorders>
          </w:tcPr>
          <w:p/>
        </w:tc>
        <w:tc>
          <w:tcPr>
            <w:tcW w:w="8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8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8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8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r>
      <w:tr>
        <w:trPr>
          <w:trHeight w:val="30" w:hRule="atLeast"/>
        </w:trPr>
        <w:tc>
          <w:tcPr>
            <w:tcW w:w="8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240</w:t>
            </w:r>
          </w:p>
        </w:tc>
        <w:tc>
          <w:tcPr>
            <w:tcW w:w="89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41</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325</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510</w:t>
            </w:r>
          </w:p>
          <w:p>
            <w:pPr>
              <w:spacing w:after="0"/>
              <w:ind w:left="14"/>
              <w:jc w:val="left"/>
            </w:pPr>
            <w:r>
              <w:rPr>
                <w:rFonts w:hint="default" w:ascii="Times New Roman" w:hAnsi="Times New Roman"/>
                <w:b w:val="false"/>
                <w:i w:val="false"/>
                <w:color w:val="000000"/>
                <w:sz w:val="24"/>
              </w:rPr>
              <w:t>605</w:t>
            </w:r>
          </w:p>
        </w:tc>
        <w:tc>
          <w:tcPr>
            <w:tcW w:w="85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216</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350</w:t>
            </w:r>
          </w:p>
          <w:p>
            <w:pPr>
              <w:spacing w:after="14"/>
              <w:ind w:left="14"/>
              <w:jc w:val="left"/>
            </w:pPr>
            <w:r>
              <w:rPr>
                <w:rFonts w:hint="default" w:ascii="Times New Roman" w:hAnsi="Times New Roman"/>
                <w:b w:val="false"/>
                <w:i w:val="false"/>
                <w:color w:val="000000"/>
                <w:sz w:val="24"/>
              </w:rPr>
              <w:t>405</w:t>
            </w:r>
          </w:p>
          <w:p>
            <w:pPr>
              <w:spacing w:after="0"/>
              <w:ind w:left="14"/>
              <w:jc w:val="left"/>
            </w:pPr>
            <w:r>
              <w:rPr>
                <w:rFonts w:hint="default" w:ascii="Times New Roman" w:hAnsi="Times New Roman"/>
                <w:b w:val="false"/>
                <w:i w:val="false"/>
                <w:color w:val="000000"/>
                <w:sz w:val="24"/>
              </w:rPr>
              <w:t>–</w:t>
            </w:r>
          </w:p>
        </w:tc>
        <w:tc>
          <w:tcPr>
            <w:tcW w:w="85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33</w:t>
            </w:r>
          </w:p>
          <w:p>
            <w:pPr>
              <w:spacing w:after="14"/>
              <w:ind w:left="14"/>
              <w:jc w:val="left"/>
            </w:pPr>
            <w:r>
              <w:rPr>
                <w:rFonts w:hint="default" w:ascii="Times New Roman" w:hAnsi="Times New Roman"/>
                <w:b w:val="false"/>
                <w:i w:val="false"/>
                <w:color w:val="000000"/>
                <w:sz w:val="24"/>
              </w:rPr>
              <w:t>44</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265</w:t>
            </w:r>
          </w:p>
          <w:p>
            <w:pPr>
              <w:spacing w:after="14"/>
              <w:ind w:left="14"/>
              <w:jc w:val="left"/>
            </w:pPr>
            <w:r>
              <w:rPr>
                <w:rFonts w:hint="default" w:ascii="Times New Roman" w:hAnsi="Times New Roman"/>
                <w:b w:val="false"/>
                <w:i w:val="false"/>
                <w:color w:val="000000"/>
                <w:sz w:val="24"/>
              </w:rPr>
              <w:t>320</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445</w:t>
            </w:r>
          </w:p>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570</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2260</w:t>
            </w:r>
          </w:p>
          <w:p>
            <w:pPr>
              <w:spacing w:after="14"/>
              <w:ind w:left="14"/>
              <w:jc w:val="left"/>
            </w:pPr>
            <w:r>
              <w:rPr>
                <w:rFonts w:hint="default" w:ascii="Times New Roman" w:hAnsi="Times New Roman"/>
                <w:b w:val="false"/>
                <w:i w:val="false"/>
                <w:color w:val="000000"/>
                <w:sz w:val="24"/>
              </w:rPr>
              <w:t>305</w:t>
            </w:r>
          </w:p>
          <w:p>
            <w:pPr>
              <w:spacing w:after="14"/>
              <w:ind w:left="14"/>
              <w:jc w:val="left"/>
            </w:pPr>
            <w:r>
              <w:rPr>
                <w:rFonts w:hint="default" w:ascii="Times New Roman" w:hAnsi="Times New Roman"/>
                <w:b w:val="false"/>
                <w:i w:val="false"/>
                <w:color w:val="000000"/>
                <w:sz w:val="24"/>
              </w:rPr>
              <w:t>350</w:t>
            </w:r>
          </w:p>
          <w:p>
            <w:pPr>
              <w:spacing w:after="0"/>
              <w:ind w:left="14"/>
              <w:jc w:val="left"/>
            </w:pPr>
            <w:r>
              <w:rPr>
                <w:rFonts w:hint="default" w:ascii="Times New Roman" w:hAnsi="Times New Roman"/>
                <w:b w:val="false"/>
                <w:i w:val="false"/>
                <w:color w:val="000000"/>
                <w:sz w:val="24"/>
              </w:rPr>
              <w:t>–</w:t>
            </w:r>
          </w:p>
        </w:tc>
        <w:tc>
          <w:tcPr>
            <w:tcW w:w="8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49</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435</w:t>
            </w:r>
          </w:p>
          <w:p>
            <w:pPr>
              <w:spacing w:after="14"/>
              <w:ind w:left="14"/>
              <w:jc w:val="left"/>
            </w:pPr>
            <w:r>
              <w:rPr>
                <w:rFonts w:hint="default" w:ascii="Times New Roman" w:hAnsi="Times New Roman"/>
                <w:b w:val="false"/>
                <w:i w:val="false"/>
                <w:color w:val="000000"/>
                <w:sz w:val="24"/>
              </w:rPr>
              <w:t>500</w:t>
            </w:r>
          </w:p>
          <w:p>
            <w:pPr>
              <w:spacing w:after="0"/>
              <w:ind w:left="14"/>
              <w:jc w:val="left"/>
            </w:pPr>
            <w:r>
              <w:rPr>
                <w:rFonts w:hint="default" w:ascii="Times New Roman" w:hAnsi="Times New Roman"/>
                <w:b w:val="false"/>
                <w:i w:val="false"/>
                <w:color w:val="000000"/>
                <w:sz w:val="24"/>
              </w:rPr>
              <w:t>–</w:t>
            </w:r>
          </w:p>
        </w:tc>
      </w:tr>
    </w:tbl>
    <w:bookmarkEnd w:id="4830"/>
    <w:bookmarkStart w:name="637606286" w:id="48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Токи относятся к проводам и кабелям как с нулевой жилой, так и без нее.</w:t>
      </w:r>
    </w:p>
    <w:bookmarkEnd w:id="4831"/>
    <w:bookmarkStart w:name="637606287" w:id="4832"/>
    <w:p>
      <w:pPr>
        <w:spacing w:before="120" w:after="120" w:line="240"/>
        <w:ind w:left="0"/>
        <w:jc w:val="both"/>
      </w:pPr>
      <w:r>
        <w:rPr>
          <w:rFonts w:hint="default" w:ascii="Times New Roman" w:hAnsi="Times New Roman"/>
          <w:b/>
          <w:i w:val="false"/>
          <w:color w:val="000000"/>
          <w:sz w:val="24"/>
        </w:rPr>
        <w:t>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бронированных и небронированных</w:t>
      </w:r>
    </w:p>
    <w:bookmarkEnd w:id="4832"/>
    <w:bookmarkStart w:name="637606288" w:id="483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w:t>
      </w:r>
    </w:p>
    <w:bookmarkEnd w:id="4833"/>
    <w:bookmarkStart w:name="637606289" w:id="4834"/>
    <w:tbl>
      <w:tblPr>
        <w:tblW w:w="18660" w:type="auto"/>
        <w:tblCellSpacing w:w="0" w:type="auto"/>
        <w:tblBorders>
          <w:top w:val="none"/>
          <w:left w:val="none"/>
          <w:bottom w:val="none"/>
          <w:right w:val="none"/>
          <w:insideH w:val="none"/>
          <w:insideV w:val="none"/>
        </w:tblBorders>
        <w:tblLayout/>
      </w:tblPr>
      <w:tblGrid>
        <w:gridCol w:w="2438"/>
        <w:gridCol w:w="2929"/>
        <w:gridCol w:w="2570"/>
        <w:gridCol w:w="2599"/>
        <w:gridCol w:w="2570"/>
        <w:gridCol w:w="2894"/>
      </w:tblGrid>
      <w:tr>
        <w:trPr>
          <w:trHeight w:val="30" w:hRule="atLeast"/>
        </w:trPr>
        <w:tc>
          <w:tcPr>
            <w:tcW w:w="243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29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прокладке</w:t>
            </w:r>
          </w:p>
        </w:tc>
      </w:tr>
      <w:tr>
        <w:trPr>
          <w:trHeight w:val="30" w:hRule="atLeast"/>
        </w:trPr>
        <w:tc>
          <w:tcPr>
            <w:tcW w:w="0" w:type="auto"/>
            <w:vMerge/>
            <w:tcBorders>
              <w:top w:val="nil"/>
              <w:left w:val="single" w:color="cfcfcf" w:sz="8"/>
              <w:bottom w:val="single" w:color="cfcfcf" w:sz="8"/>
              <w:right w:val="single" w:color="cfcfcf" w:sz="8"/>
            </w:tcBorders>
          </w:tcPr>
          <w:p/>
        </w:tc>
        <w:tc>
          <w:tcPr>
            <w:tcW w:w="29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25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25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28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r>
      <w:tr>
        <w:trPr>
          <w:trHeight w:val="30" w:hRule="atLeast"/>
        </w:trPr>
        <w:tc>
          <w:tcPr>
            <w:tcW w:w="24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9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5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5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5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8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243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240</w:t>
            </w:r>
          </w:p>
        </w:tc>
        <w:tc>
          <w:tcPr>
            <w:tcW w:w="29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31</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0"/>
              <w:ind w:left="14"/>
              <w:jc w:val="left"/>
            </w:pPr>
            <w:r>
              <w:rPr>
                <w:rFonts w:hint="default" w:ascii="Times New Roman" w:hAnsi="Times New Roman"/>
                <w:b w:val="false"/>
                <w:i w:val="false"/>
                <w:color w:val="000000"/>
                <w:sz w:val="24"/>
              </w:rPr>
              <w:t>465</w:t>
            </w:r>
          </w:p>
        </w:tc>
        <w:tc>
          <w:tcPr>
            <w:tcW w:w="25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29</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230</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310</w:t>
            </w:r>
          </w:p>
          <w:p>
            <w:pPr>
              <w:spacing w:after="0"/>
              <w:ind w:left="14"/>
              <w:jc w:val="left"/>
            </w:pPr>
            <w:r>
              <w:rPr>
                <w:rFonts w:hint="default" w:ascii="Times New Roman" w:hAnsi="Times New Roman"/>
                <w:b w:val="false"/>
                <w:i w:val="false"/>
                <w:color w:val="000000"/>
                <w:sz w:val="24"/>
              </w:rPr>
              <w:t>–</w:t>
            </w:r>
          </w:p>
        </w:tc>
        <w:tc>
          <w:tcPr>
            <w:tcW w:w="25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34</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2205</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440</w:t>
            </w:r>
          </w:p>
          <w:p>
            <w:pPr>
              <w:spacing w:after="0"/>
              <w:ind w:left="14"/>
              <w:jc w:val="left"/>
            </w:pPr>
            <w:r>
              <w:rPr>
                <w:rFonts w:hint="default" w:ascii="Times New Roman" w:hAnsi="Times New Roman"/>
                <w:b w:val="false"/>
                <w:i w:val="false"/>
                <w:color w:val="000000"/>
                <w:sz w:val="24"/>
              </w:rPr>
              <w:t>–</w:t>
            </w:r>
          </w:p>
        </w:tc>
        <w:tc>
          <w:tcPr>
            <w:tcW w:w="25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27</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270</w:t>
            </w:r>
          </w:p>
          <w:p>
            <w:pPr>
              <w:spacing w:after="0"/>
              <w:ind w:left="14"/>
              <w:jc w:val="left"/>
            </w:pPr>
            <w:r>
              <w:rPr>
                <w:rFonts w:hint="default" w:ascii="Times New Roman" w:hAnsi="Times New Roman"/>
                <w:b w:val="false"/>
                <w:i w:val="false"/>
                <w:color w:val="000000"/>
                <w:sz w:val="24"/>
              </w:rPr>
              <w:t>–</w:t>
            </w:r>
          </w:p>
        </w:tc>
        <w:tc>
          <w:tcPr>
            <w:tcW w:w="289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29</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2210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335</w:t>
            </w:r>
          </w:p>
          <w:p>
            <w:pPr>
              <w:spacing w:after="14"/>
              <w:ind w:left="14"/>
              <w:jc w:val="left"/>
            </w:pPr>
            <w:r>
              <w:rPr>
                <w:rFonts w:hint="default" w:ascii="Times New Roman" w:hAnsi="Times New Roman"/>
                <w:b w:val="false"/>
                <w:i w:val="false"/>
                <w:color w:val="000000"/>
                <w:sz w:val="24"/>
              </w:rPr>
              <w:t>385</w:t>
            </w:r>
          </w:p>
          <w:p>
            <w:pPr>
              <w:spacing w:after="0"/>
              <w:ind w:left="14"/>
              <w:jc w:val="left"/>
            </w:pPr>
            <w:r>
              <w:rPr>
                <w:rFonts w:hint="default" w:ascii="Times New Roman" w:hAnsi="Times New Roman"/>
                <w:b w:val="false"/>
                <w:i w:val="false"/>
                <w:color w:val="000000"/>
                <w:sz w:val="24"/>
              </w:rPr>
              <w:t>–</w:t>
            </w:r>
          </w:p>
        </w:tc>
      </w:tr>
    </w:tbl>
    <w:bookmarkEnd w:id="4834"/>
    <w:bookmarkStart w:name="637606290" w:id="48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Токи относятся к проводам и кабелям как с нулевой жилой, так и без нее.</w:t>
      </w:r>
    </w:p>
    <w:bookmarkEnd w:id="4835"/>
    <w:bookmarkStart w:name="637606291" w:id="48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Допустимые длительные токи для четырехжильных кабелей с пластмассовой изоляцией на напряжение до 1 кВ могут выбираться по таблице 7, как для трехжильных кабелей, но с коэффициентом 0,92.</w:t>
      </w:r>
    </w:p>
    <w:bookmarkEnd w:id="4836"/>
    <w:bookmarkStart w:name="637606292" w:id="4837"/>
    <w:p>
      <w:pPr>
        <w:spacing w:before="120" w:after="120" w:line="240"/>
        <w:ind w:left="0"/>
        <w:jc w:val="both"/>
      </w:pPr>
      <w:r>
        <w:rPr>
          <w:rFonts w:hint="default" w:ascii="Times New Roman" w:hAnsi="Times New Roman"/>
          <w:b/>
          <w:i w:val="false"/>
          <w:color w:val="000000"/>
          <w:sz w:val="24"/>
        </w:rPr>
        <w:t>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bookmarkEnd w:id="4837"/>
    <w:bookmarkStart w:name="637606293" w:id="483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w:t>
      </w:r>
    </w:p>
    <w:bookmarkEnd w:id="4838"/>
    <w:bookmarkStart w:name="637606294" w:id="4839"/>
    <w:tbl>
      <w:tblPr>
        <w:tblW w:w="18660" w:type="auto"/>
        <w:tblCellSpacing w:w="0" w:type="auto"/>
        <w:tblBorders>
          <w:top w:val="none"/>
          <w:left w:val="none"/>
          <w:bottom w:val="none"/>
          <w:right w:val="none"/>
          <w:insideH w:val="none"/>
          <w:insideV w:val="none"/>
        </w:tblBorders>
        <w:tblLayout/>
      </w:tblPr>
      <w:tblGrid>
        <w:gridCol w:w="4598"/>
        <w:gridCol w:w="3249"/>
        <w:gridCol w:w="3951"/>
        <w:gridCol w:w="4202"/>
      </w:tblGrid>
      <w:tr>
        <w:trPr>
          <w:trHeight w:val="30" w:hRule="atLeast"/>
        </w:trPr>
        <w:tc>
          <w:tcPr>
            <w:tcW w:w="459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шнуров, проводов и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32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w:t>
            </w:r>
          </w:p>
        </w:tc>
        <w:tc>
          <w:tcPr>
            <w:tcW w:w="39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w:t>
            </w:r>
          </w:p>
        </w:tc>
        <w:tc>
          <w:tcPr>
            <w:tcW w:w="42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w:t>
            </w:r>
          </w:p>
        </w:tc>
      </w:tr>
      <w:tr>
        <w:trPr>
          <w:trHeight w:val="30" w:hRule="atLeast"/>
        </w:trPr>
        <w:tc>
          <w:tcPr>
            <w:tcW w:w="459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0,5</w:t>
            </w:r>
          </w:p>
          <w:p>
            <w:pPr>
              <w:spacing w:after="14"/>
              <w:ind w:left="14"/>
              <w:jc w:val="left"/>
            </w:pPr>
            <w:r>
              <w:rPr>
                <w:rFonts w:hint="default" w:ascii="Times New Roman" w:hAnsi="Times New Roman"/>
                <w:b w:val="false"/>
                <w:i w:val="false"/>
                <w:color w:val="000000"/>
                <w:sz w:val="24"/>
              </w:rPr>
              <w:t>0,75</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0"/>
              <w:ind w:left="14"/>
              <w:jc w:val="left"/>
            </w:pPr>
            <w:r>
              <w:rPr>
                <w:rFonts w:hint="default" w:ascii="Times New Roman" w:hAnsi="Times New Roman"/>
                <w:b w:val="false"/>
                <w:i w:val="false"/>
                <w:color w:val="000000"/>
                <w:sz w:val="24"/>
              </w:rPr>
              <w:t>70</w:t>
            </w:r>
          </w:p>
        </w:tc>
        <w:tc>
          <w:tcPr>
            <w:tcW w:w="32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235</w:t>
            </w:r>
          </w:p>
          <w:p>
            <w:pPr>
              <w:spacing w:after="0"/>
              <w:ind w:left="14"/>
              <w:jc w:val="left"/>
            </w:pPr>
            <w:r>
              <w:rPr>
                <w:rFonts w:hint="default" w:ascii="Times New Roman" w:hAnsi="Times New Roman"/>
                <w:b w:val="false"/>
                <w:i w:val="false"/>
                <w:color w:val="000000"/>
                <w:sz w:val="24"/>
              </w:rPr>
              <w:t>290</w:t>
            </w:r>
          </w:p>
        </w:tc>
        <w:tc>
          <w:tcPr>
            <w:tcW w:w="395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18</w:t>
            </w:r>
          </w:p>
          <w:p>
            <w:pPr>
              <w:spacing w:after="14"/>
              <w:ind w:left="14"/>
              <w:jc w:val="left"/>
            </w:pPr>
            <w:r>
              <w:rPr>
                <w:rFonts w:hint="default" w:ascii="Times New Roman" w:hAnsi="Times New Roman"/>
                <w:b w:val="false"/>
                <w:i w:val="false"/>
                <w:color w:val="000000"/>
                <w:sz w:val="24"/>
              </w:rPr>
              <w:t>23</w:t>
            </w:r>
          </w:p>
          <w:p>
            <w:pPr>
              <w:spacing w:after="14"/>
              <w:ind w:left="14"/>
              <w:jc w:val="left"/>
            </w:pPr>
            <w:r>
              <w:rPr>
                <w:rFonts w:hint="default" w:ascii="Times New Roman" w:hAnsi="Times New Roman"/>
                <w:b w:val="false"/>
                <w:i w:val="false"/>
                <w:color w:val="000000"/>
                <w:sz w:val="24"/>
              </w:rPr>
              <w:t>33</w:t>
            </w:r>
          </w:p>
          <w:p>
            <w:pPr>
              <w:spacing w:after="14"/>
              <w:ind w:left="14"/>
              <w:jc w:val="left"/>
            </w:pPr>
            <w:r>
              <w:rPr>
                <w:rFonts w:hint="default" w:ascii="Times New Roman" w:hAnsi="Times New Roman"/>
                <w:b w:val="false"/>
                <w:i w:val="false"/>
                <w:color w:val="000000"/>
                <w:sz w:val="24"/>
              </w:rPr>
              <w:t>43</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235</w:t>
            </w:r>
          </w:p>
        </w:tc>
        <w:tc>
          <w:tcPr>
            <w:tcW w:w="420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14</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36</w:t>
            </w:r>
          </w:p>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160</w:t>
            </w:r>
          </w:p>
          <w:p>
            <w:pPr>
              <w:spacing w:after="0"/>
              <w:ind w:left="14"/>
              <w:jc w:val="left"/>
            </w:pPr>
            <w:r>
              <w:rPr>
                <w:rFonts w:hint="default" w:ascii="Times New Roman" w:hAnsi="Times New Roman"/>
                <w:b w:val="false"/>
                <w:i w:val="false"/>
                <w:color w:val="000000"/>
                <w:sz w:val="24"/>
              </w:rPr>
              <w:t>200</w:t>
            </w:r>
          </w:p>
        </w:tc>
      </w:tr>
    </w:tbl>
    <w:bookmarkEnd w:id="4839"/>
    <w:bookmarkStart w:name="637606295" w:id="48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Токи относятся к шнурам, проводам и кабелям с нулевой жилой и без нее.</w:t>
      </w:r>
    </w:p>
    <w:bookmarkEnd w:id="4840"/>
    <w:bookmarkStart w:name="637606296" w:id="4841"/>
    <w:p>
      <w:pPr>
        <w:spacing w:before="120" w:after="120" w:line="240"/>
        <w:ind w:left="0"/>
        <w:jc w:val="both"/>
      </w:pPr>
      <w:r>
        <w:rPr>
          <w:rFonts w:hint="default" w:ascii="Times New Roman" w:hAnsi="Times New Roman"/>
          <w:b/>
          <w:i w:val="false"/>
          <w:color w:val="000000"/>
          <w:sz w:val="24"/>
        </w:rPr>
        <w:t>Допустимый длительный ток для переносных шланговых с медными жилами с резиновой изоляцией кабелей для торфопредприятий</w:t>
      </w:r>
    </w:p>
    <w:bookmarkEnd w:id="4841"/>
    <w:bookmarkStart w:name="637606297" w:id="484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w:t>
      </w:r>
    </w:p>
    <w:bookmarkEnd w:id="4842"/>
    <w:bookmarkStart w:name="637606298" w:id="4843"/>
    <w:tbl>
      <w:tblPr>
        <w:tblW w:w="18660" w:type="auto"/>
        <w:tblCellSpacing w:w="0" w:type="auto"/>
        <w:tblBorders>
          <w:top w:val="none"/>
          <w:left w:val="none"/>
          <w:bottom w:val="none"/>
          <w:right w:val="none"/>
          <w:insideH w:val="none"/>
          <w:insideV w:val="none"/>
        </w:tblBorders>
        <w:tblLayout/>
      </w:tblPr>
      <w:tblGrid>
        <w:gridCol w:w="3749"/>
        <w:gridCol w:w="3994"/>
        <w:gridCol w:w="3994"/>
        <w:gridCol w:w="4263"/>
      </w:tblGrid>
      <w:tr>
        <w:trPr>
          <w:trHeight w:val="30" w:hRule="atLeast"/>
        </w:trPr>
        <w:tc>
          <w:tcPr>
            <w:tcW w:w="374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2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37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0"/>
              <w:ind w:left="14"/>
              <w:jc w:val="left"/>
            </w:pPr>
            <w:r>
              <w:rPr>
                <w:rFonts w:hint="default" w:ascii="Times New Roman" w:hAnsi="Times New Roman"/>
                <w:b w:val="false"/>
                <w:i w:val="false"/>
                <w:color w:val="000000"/>
                <w:sz w:val="24"/>
              </w:rPr>
              <w:t>70</w:t>
            </w:r>
          </w:p>
        </w:tc>
        <w:tc>
          <w:tcPr>
            <w:tcW w:w="399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44</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0"/>
              <w:ind w:left="14"/>
              <w:jc w:val="left"/>
            </w:pPr>
            <w:r>
              <w:rPr>
                <w:rFonts w:hint="default" w:ascii="Times New Roman" w:hAnsi="Times New Roman"/>
                <w:b w:val="false"/>
                <w:i w:val="false"/>
                <w:color w:val="000000"/>
                <w:sz w:val="24"/>
              </w:rPr>
              <w:t>190</w:t>
            </w:r>
          </w:p>
        </w:tc>
        <w:tc>
          <w:tcPr>
            <w:tcW w:w="399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0"/>
              <w:ind w:left="14"/>
              <w:jc w:val="left"/>
            </w:pPr>
            <w:r>
              <w:rPr>
                <w:rFonts w:hint="default" w:ascii="Times New Roman" w:hAnsi="Times New Roman"/>
                <w:b w:val="false"/>
                <w:i w:val="false"/>
                <w:color w:val="000000"/>
                <w:sz w:val="24"/>
              </w:rPr>
              <w:t>195</w:t>
            </w:r>
          </w:p>
        </w:tc>
        <w:tc>
          <w:tcPr>
            <w:tcW w:w="42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47</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160</w:t>
            </w:r>
          </w:p>
          <w:p>
            <w:pPr>
              <w:spacing w:after="0"/>
              <w:ind w:left="14"/>
              <w:jc w:val="left"/>
            </w:pPr>
            <w:r>
              <w:rPr>
                <w:rFonts w:hint="default" w:ascii="Times New Roman" w:hAnsi="Times New Roman"/>
                <w:b w:val="false"/>
                <w:i w:val="false"/>
                <w:color w:val="000000"/>
                <w:sz w:val="24"/>
              </w:rPr>
              <w:t>–</w:t>
            </w:r>
          </w:p>
        </w:tc>
      </w:tr>
    </w:tbl>
    <w:bookmarkEnd w:id="4843"/>
    <w:bookmarkStart w:name="637606299" w:id="48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Токи относятся к кабелям с нулевой жилой и без нее.</w:t>
      </w:r>
    </w:p>
    <w:bookmarkEnd w:id="4844"/>
    <w:bookmarkStart w:name="637606300" w:id="4845"/>
    <w:p>
      <w:pPr>
        <w:spacing w:before="120" w:after="120" w:line="240"/>
        <w:ind w:left="0"/>
        <w:jc w:val="both"/>
      </w:pPr>
      <w:r>
        <w:rPr>
          <w:rFonts w:hint="default" w:ascii="Times New Roman" w:hAnsi="Times New Roman"/>
          <w:b/>
          <w:i w:val="false"/>
          <w:color w:val="000000"/>
          <w:sz w:val="24"/>
        </w:rPr>
        <w:t>Допустимый длительный ток для шланговых с медными жилами с резиновой изоляцией кабелей для передвижных электроприемников</w:t>
      </w:r>
    </w:p>
    <w:bookmarkEnd w:id="4845"/>
    <w:bookmarkStart w:name="637606301" w:id="484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w:t>
      </w:r>
    </w:p>
    <w:bookmarkEnd w:id="4846"/>
    <w:bookmarkStart w:name="637606302" w:id="4847"/>
    <w:tbl>
      <w:tblPr>
        <w:tblW w:w="18660" w:type="auto"/>
        <w:tblCellSpacing w:w="0" w:type="auto"/>
        <w:tblBorders>
          <w:top w:val="none"/>
          <w:left w:val="none"/>
          <w:bottom w:val="none"/>
          <w:right w:val="none"/>
          <w:insideH w:val="none"/>
          <w:insideV w:val="none"/>
        </w:tblBorders>
        <w:tblLayout/>
      </w:tblPr>
      <w:tblGrid>
        <w:gridCol w:w="568"/>
        <w:gridCol w:w="715"/>
        <w:gridCol w:w="873"/>
        <w:gridCol w:w="6228"/>
        <w:gridCol w:w="232"/>
        <w:gridCol w:w="6228"/>
        <w:gridCol w:w="436"/>
        <w:gridCol w:w="720"/>
      </w:tblGrid>
      <w:tr>
        <w:trPr>
          <w:trHeight w:val="30" w:hRule="atLeast"/>
        </w:trPr>
        <w:tc>
          <w:tcPr>
            <w:tcW w:w="56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 напряжением, кВ</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7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0" w:type="auto"/>
            <w:gridSpan w:val="2"/>
            <w:vMerge/>
            <w:tcBorders>
              <w:top w:val="nil"/>
              <w:left w:val="single" w:color="cfcfcf" w:sz="8"/>
              <w:bottom w:val="single" w:color="cfcfcf" w:sz="8"/>
              <w:right w:val="single" w:color="cfcfcf" w:sz="8"/>
            </w:tcBorders>
          </w:tcPr>
          <w:p/>
        </w:tc>
        <w:tc>
          <w:tcPr>
            <w:tcW w:w="4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56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0"/>
              <w:ind w:left="14"/>
              <w:jc w:val="left"/>
            </w:pPr>
            <w:r>
              <w:rPr>
                <w:rFonts w:hint="default" w:ascii="Times New Roman" w:hAnsi="Times New Roman"/>
                <w:b w:val="false"/>
                <w:i w:val="false"/>
                <w:color w:val="000000"/>
                <w:sz w:val="24"/>
              </w:rPr>
              <w:t>50</w:t>
            </w:r>
          </w:p>
        </w:tc>
        <w:tc>
          <w:tcPr>
            <w:tcW w:w="71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0"/>
              <w:ind w:left="14"/>
              <w:jc w:val="left"/>
            </w:pPr>
            <w:r>
              <w:rPr>
                <w:rFonts w:hint="default" w:ascii="Times New Roman" w:hAnsi="Times New Roman"/>
                <w:b w:val="false"/>
                <w:i w:val="false"/>
                <w:color w:val="000000"/>
                <w:sz w:val="24"/>
              </w:rPr>
              <w:t>175</w:t>
            </w:r>
          </w:p>
        </w:tc>
        <w:tc>
          <w:tcPr>
            <w:tcW w:w="87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1220</w:t>
            </w:r>
          </w:p>
          <w:p>
            <w:pPr>
              <w:spacing w:after="14"/>
              <w:ind w:left="14"/>
              <w:jc w:val="left"/>
            </w:pPr>
            <w:r>
              <w:rPr>
                <w:rFonts w:hint="default" w:ascii="Times New Roman" w:hAnsi="Times New Roman"/>
                <w:b w:val="false"/>
                <w:i w:val="false"/>
                <w:color w:val="000000"/>
                <w:sz w:val="24"/>
              </w:rPr>
              <w:t>145</w:t>
            </w:r>
          </w:p>
          <w:p>
            <w:pPr>
              <w:spacing w:after="0"/>
              <w:ind w:left="14"/>
              <w:jc w:val="left"/>
            </w:pPr>
            <w:r>
              <w:rPr>
                <w:rFonts w:hint="default" w:ascii="Times New Roman" w:hAnsi="Times New Roman"/>
                <w:b w:val="false"/>
                <w:i w:val="false"/>
                <w:color w:val="000000"/>
                <w:sz w:val="24"/>
              </w:rPr>
              <w:t>180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0"/>
              <w:ind w:left="14"/>
              <w:jc w:val="left"/>
            </w:pPr>
            <w:r>
              <w:rPr>
                <w:rFonts w:hint="default" w:ascii="Times New Roman" w:hAnsi="Times New Roman"/>
                <w:b w:val="false"/>
                <w:i w:val="false"/>
                <w:color w:val="000000"/>
                <w:sz w:val="24"/>
              </w:rPr>
              <w:t>150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305</w:t>
            </w:r>
          </w:p>
          <w:p>
            <w:pPr>
              <w:spacing w:after="0"/>
              <w:ind w:left="14"/>
              <w:jc w:val="left"/>
            </w:pPr>
            <w:r>
              <w:rPr>
                <w:rFonts w:hint="default" w:ascii="Times New Roman" w:hAnsi="Times New Roman"/>
                <w:b w:val="false"/>
                <w:i w:val="false"/>
                <w:color w:val="000000"/>
                <w:sz w:val="24"/>
              </w:rPr>
              <w:t>345</w:t>
            </w:r>
          </w:p>
        </w:tc>
        <w:tc>
          <w:tcPr>
            <w:tcW w:w="72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265</w:t>
            </w:r>
          </w:p>
          <w:p>
            <w:pPr>
              <w:spacing w:after="14"/>
              <w:ind w:left="14"/>
              <w:jc w:val="left"/>
            </w:pPr>
            <w:r>
              <w:rPr>
                <w:rFonts w:hint="default" w:ascii="Times New Roman" w:hAnsi="Times New Roman"/>
                <w:b w:val="false"/>
                <w:i w:val="false"/>
                <w:color w:val="000000"/>
                <w:sz w:val="24"/>
              </w:rPr>
              <w:t>310</w:t>
            </w:r>
          </w:p>
          <w:p>
            <w:pPr>
              <w:spacing w:after="0"/>
              <w:ind w:left="14"/>
              <w:jc w:val="left"/>
            </w:pPr>
            <w:r>
              <w:rPr>
                <w:rFonts w:hint="default" w:ascii="Times New Roman" w:hAnsi="Times New Roman"/>
                <w:b w:val="false"/>
                <w:i w:val="false"/>
                <w:color w:val="000000"/>
                <w:sz w:val="24"/>
              </w:rPr>
              <w:t>350</w:t>
            </w:r>
          </w:p>
        </w:tc>
      </w:tr>
    </w:tbl>
    <w:bookmarkEnd w:id="4847"/>
    <w:bookmarkStart w:name="637606303" w:id="48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Токи относятся к кабелям с нулевой жилой и без нее.</w:t>
      </w:r>
    </w:p>
    <w:bookmarkEnd w:id="4848"/>
    <w:bookmarkStart w:name="637606304" w:id="4849"/>
    <w:p>
      <w:pPr>
        <w:spacing w:before="120" w:after="120" w:line="240"/>
        <w:ind w:left="0"/>
        <w:jc w:val="both"/>
      </w:pPr>
      <w:r>
        <w:rPr>
          <w:rFonts w:hint="default" w:ascii="Times New Roman" w:hAnsi="Times New Roman"/>
          <w:b/>
          <w:i w:val="false"/>
          <w:color w:val="000000"/>
          <w:sz w:val="24"/>
        </w:rPr>
        <w:t>Допустимый длительный ток для проводов с медными жилами с резиновой изоляцией для электрифицированного транспорта 1,3 и 4 кВ</w:t>
      </w:r>
    </w:p>
    <w:bookmarkEnd w:id="4849"/>
    <w:bookmarkStart w:name="637606305" w:id="485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w:t>
      </w:r>
    </w:p>
    <w:bookmarkEnd w:id="4850"/>
    <w:bookmarkStart w:name="637606306" w:id="4851"/>
    <w:tbl>
      <w:tblPr>
        <w:tblW w:w="18660" w:type="auto"/>
        <w:tblCellSpacing w:w="0" w:type="auto"/>
        <w:tblBorders>
          <w:top w:val="none"/>
          <w:left w:val="none"/>
          <w:bottom w:val="none"/>
          <w:right w:val="none"/>
          <w:insideH w:val="none"/>
          <w:insideV w:val="none"/>
        </w:tblBorders>
        <w:tblLayout/>
      </w:tblPr>
      <w:tblGrid>
        <w:gridCol w:w="3289"/>
        <w:gridCol w:w="1870"/>
        <w:gridCol w:w="3293"/>
        <w:gridCol w:w="1898"/>
        <w:gridCol w:w="3437"/>
        <w:gridCol w:w="2213"/>
      </w:tblGrid>
      <w:tr>
        <w:trPr>
          <w:trHeight w:val="30" w:hRule="atLeast"/>
        </w:trPr>
        <w:tc>
          <w:tcPr>
            <w:tcW w:w="32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18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3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18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3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22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r>
      <w:tr>
        <w:trPr>
          <w:trHeight w:val="30" w:hRule="atLeast"/>
        </w:trPr>
        <w:tc>
          <w:tcPr>
            <w:tcW w:w="328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4</w:t>
            </w:r>
          </w:p>
          <w:p>
            <w:pPr>
              <w:spacing w:after="14"/>
              <w:ind w:left="14"/>
              <w:jc w:val="left"/>
            </w:pPr>
            <w:r>
              <w:rPr>
                <w:rFonts w:hint="default" w:ascii="Times New Roman" w:hAnsi="Times New Roman"/>
                <w:b w:val="false"/>
                <w:i w:val="false"/>
                <w:color w:val="000000"/>
                <w:sz w:val="24"/>
              </w:rPr>
              <w:t>6</w:t>
            </w:r>
          </w:p>
          <w:p>
            <w:pPr>
              <w:spacing w:after="0"/>
              <w:ind w:left="14"/>
              <w:jc w:val="left"/>
            </w:pPr>
            <w:r>
              <w:rPr>
                <w:rFonts w:hint="default" w:ascii="Times New Roman" w:hAnsi="Times New Roman"/>
                <w:b w:val="false"/>
                <w:i w:val="false"/>
                <w:color w:val="000000"/>
                <w:sz w:val="24"/>
              </w:rPr>
              <w:t>10</w:t>
            </w:r>
          </w:p>
        </w:tc>
        <w:tc>
          <w:tcPr>
            <w:tcW w:w="18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65</w:t>
            </w:r>
          </w:p>
          <w:p>
            <w:pPr>
              <w:spacing w:after="0"/>
              <w:ind w:left="14"/>
              <w:jc w:val="left"/>
            </w:pPr>
            <w:r>
              <w:rPr>
                <w:rFonts w:hint="default" w:ascii="Times New Roman" w:hAnsi="Times New Roman"/>
                <w:b w:val="false"/>
                <w:i w:val="false"/>
                <w:color w:val="000000"/>
                <w:sz w:val="24"/>
              </w:rPr>
              <w:t>90</w:t>
            </w:r>
          </w:p>
        </w:tc>
        <w:tc>
          <w:tcPr>
            <w:tcW w:w="329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0"/>
              <w:ind w:left="14"/>
              <w:jc w:val="left"/>
            </w:pPr>
            <w:r>
              <w:rPr>
                <w:rFonts w:hint="default" w:ascii="Times New Roman" w:hAnsi="Times New Roman"/>
                <w:b w:val="false"/>
                <w:i w:val="false"/>
                <w:color w:val="000000"/>
                <w:sz w:val="24"/>
              </w:rPr>
              <w:t>95</w:t>
            </w:r>
          </w:p>
        </w:tc>
        <w:tc>
          <w:tcPr>
            <w:tcW w:w="189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230</w:t>
            </w:r>
          </w:p>
          <w:p>
            <w:pPr>
              <w:spacing w:after="14"/>
              <w:ind w:left="14"/>
              <w:jc w:val="left"/>
            </w:pPr>
            <w:r>
              <w:rPr>
                <w:rFonts w:hint="default" w:ascii="Times New Roman" w:hAnsi="Times New Roman"/>
                <w:b w:val="false"/>
                <w:i w:val="false"/>
                <w:color w:val="000000"/>
                <w:sz w:val="24"/>
              </w:rPr>
              <w:t>285</w:t>
            </w:r>
          </w:p>
          <w:p>
            <w:pPr>
              <w:spacing w:after="0"/>
              <w:ind w:left="14"/>
              <w:jc w:val="left"/>
            </w:pPr>
            <w:r>
              <w:rPr>
                <w:rFonts w:hint="default" w:ascii="Times New Roman" w:hAnsi="Times New Roman"/>
                <w:b w:val="false"/>
                <w:i w:val="false"/>
                <w:color w:val="000000"/>
                <w:sz w:val="24"/>
              </w:rPr>
              <w:t>340</w:t>
            </w:r>
          </w:p>
        </w:tc>
        <w:tc>
          <w:tcPr>
            <w:tcW w:w="343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0"/>
              <w:ind w:left="14"/>
              <w:jc w:val="left"/>
            </w:pPr>
            <w:r>
              <w:rPr>
                <w:rFonts w:hint="default" w:ascii="Times New Roman" w:hAnsi="Times New Roman"/>
                <w:b w:val="false"/>
                <w:i w:val="false"/>
                <w:color w:val="000000"/>
                <w:sz w:val="24"/>
              </w:rPr>
              <w:t>350</w:t>
            </w:r>
          </w:p>
        </w:tc>
        <w:tc>
          <w:tcPr>
            <w:tcW w:w="221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445</w:t>
            </w:r>
          </w:p>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590</w:t>
            </w:r>
          </w:p>
          <w:p>
            <w:pPr>
              <w:spacing w:after="14"/>
              <w:ind w:left="14"/>
              <w:jc w:val="left"/>
            </w:pPr>
            <w:r>
              <w:rPr>
                <w:rFonts w:hint="default" w:ascii="Times New Roman" w:hAnsi="Times New Roman"/>
                <w:b w:val="false"/>
                <w:i w:val="false"/>
                <w:color w:val="000000"/>
                <w:sz w:val="24"/>
              </w:rPr>
              <w:t>670</w:t>
            </w:r>
          </w:p>
          <w:p>
            <w:pPr>
              <w:spacing w:after="0"/>
              <w:ind w:left="14"/>
              <w:jc w:val="left"/>
            </w:pPr>
            <w:r>
              <w:rPr>
                <w:rFonts w:hint="default" w:ascii="Times New Roman" w:hAnsi="Times New Roman"/>
                <w:b w:val="false"/>
                <w:i w:val="false"/>
                <w:color w:val="000000"/>
                <w:sz w:val="24"/>
              </w:rPr>
              <w:t>745</w:t>
            </w:r>
          </w:p>
        </w:tc>
      </w:tr>
    </w:tbl>
    <w:bookmarkEnd w:id="4851"/>
    <w:bookmarkStart w:name="637606307" w:id="4852"/>
    <w:p>
      <w:pPr>
        <w:spacing w:before="120" w:after="120" w:line="240"/>
        <w:ind w:left="0"/>
        <w:jc w:val="both"/>
      </w:pPr>
      <w:r>
        <w:rPr>
          <w:rFonts w:hint="default" w:ascii="Times New Roman" w:hAnsi="Times New Roman"/>
          <w:b/>
          <w:i w:val="false"/>
          <w:color w:val="000000"/>
          <w:sz w:val="24"/>
        </w:rPr>
        <w:t>Снижающий коэффициент для проводов и кабелей, прокладываемых в коробах</w:t>
      </w:r>
    </w:p>
    <w:bookmarkEnd w:id="4852"/>
    <w:bookmarkStart w:name="637606308" w:id="485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w:t>
      </w:r>
    </w:p>
    <w:bookmarkEnd w:id="4853"/>
    <w:bookmarkStart w:name="637606309" w:id="4854"/>
    <w:tbl>
      <w:tblPr>
        <w:tblW w:w="18660" w:type="auto"/>
        <w:tblCellSpacing w:w="0" w:type="auto"/>
        <w:tblBorders>
          <w:top w:val="none"/>
          <w:left w:val="none"/>
          <w:bottom w:val="none"/>
          <w:right w:val="none"/>
          <w:insideH w:val="none"/>
          <w:insideV w:val="none"/>
        </w:tblBorders>
        <w:tblLayout/>
      </w:tblPr>
      <w:tblGrid>
        <w:gridCol w:w="524"/>
        <w:gridCol w:w="715"/>
        <w:gridCol w:w="694"/>
        <w:gridCol w:w="12173"/>
        <w:gridCol w:w="645"/>
        <w:gridCol w:w="1249"/>
      </w:tblGrid>
      <w:tr>
        <w:trPr>
          <w:trHeight w:val="30" w:hRule="atLeast"/>
        </w:trPr>
        <w:tc>
          <w:tcPr>
            <w:tcW w:w="52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Способ Прокладки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проложенных проводов и кабелей</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Снижающий коэффициент для проводов и кабелей, питающих</w:t>
            </w:r>
          </w:p>
        </w:tc>
      </w:tr>
      <w:tr>
        <w:trPr>
          <w:trHeight w:val="30" w:hRule="atLeast"/>
        </w:trPr>
        <w:tc>
          <w:tcPr>
            <w:tcW w:w="0" w:type="auto"/>
            <w:vMerge/>
            <w:tcBorders>
              <w:top w:val="nil"/>
              <w:left w:val="single" w:color="cfcfcf" w:sz="8"/>
              <w:bottom w:val="single" w:color="cfcfcf" w:sz="8"/>
              <w:right w:val="single" w:color="cfcfcf" w:sz="8"/>
            </w:tcBorders>
          </w:tcPr>
          <w:p/>
        </w:tc>
        <w:tc>
          <w:tcPr>
            <w:tcW w:w="7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w:t>
            </w:r>
          </w:p>
        </w:tc>
        <w:tc>
          <w:tcPr>
            <w:tcW w:w="6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много-жильных</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отдельные электро-приемники с коэффициентом использования до 0,7</w:t>
            </w:r>
          </w:p>
        </w:tc>
        <w:tc>
          <w:tcPr>
            <w:tcW w:w="12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группы электроприемников и отдельные приемники с коэффициентом использования более 0,7</w:t>
            </w:r>
          </w:p>
        </w:tc>
      </w:tr>
      <w:tr>
        <w:trPr>
          <w:trHeight w:val="30" w:hRule="atLeast"/>
        </w:trPr>
        <w:tc>
          <w:tcPr>
            <w:tcW w:w="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Многослойно и пучками</w:t>
            </w:r>
          </w:p>
        </w:tc>
        <w:tc>
          <w:tcPr>
            <w:tcW w:w="71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w:t>
            </w:r>
          </w:p>
          <w:p>
            <w:pPr>
              <w:spacing w:after="14"/>
              <w:ind w:left="14"/>
              <w:jc w:val="left"/>
            </w:pPr>
            <w:r>
              <w:rPr>
                <w:rFonts w:hint="default" w:ascii="Times New Roman" w:hAnsi="Times New Roman"/>
                <w:b w:val="false"/>
                <w:i w:val="false"/>
                <w:color w:val="000000"/>
                <w:sz w:val="24"/>
              </w:rPr>
              <w:t>3 – 9</w:t>
            </w:r>
          </w:p>
          <w:p>
            <w:pPr>
              <w:spacing w:after="14"/>
              <w:ind w:left="14"/>
              <w:jc w:val="left"/>
            </w:pPr>
            <w:r>
              <w:rPr>
                <w:rFonts w:hint="default" w:ascii="Times New Roman" w:hAnsi="Times New Roman"/>
                <w:b w:val="false"/>
                <w:i w:val="false"/>
                <w:color w:val="000000"/>
                <w:sz w:val="24"/>
              </w:rPr>
              <w:t>10 – 11</w:t>
            </w:r>
          </w:p>
          <w:p>
            <w:pPr>
              <w:spacing w:after="14"/>
              <w:ind w:left="14"/>
              <w:jc w:val="left"/>
            </w:pPr>
            <w:r>
              <w:rPr>
                <w:rFonts w:hint="default" w:ascii="Times New Roman" w:hAnsi="Times New Roman"/>
                <w:b w:val="false"/>
                <w:i w:val="false"/>
                <w:color w:val="000000"/>
                <w:sz w:val="24"/>
              </w:rPr>
              <w:t>12 – 14</w:t>
            </w:r>
          </w:p>
          <w:p>
            <w:pPr>
              <w:spacing w:after="0"/>
              <w:ind w:left="14"/>
              <w:jc w:val="left"/>
            </w:pPr>
            <w:r>
              <w:rPr>
                <w:rFonts w:hint="default" w:ascii="Times New Roman" w:hAnsi="Times New Roman"/>
                <w:b w:val="false"/>
                <w:i w:val="false"/>
                <w:color w:val="000000"/>
                <w:sz w:val="24"/>
              </w:rPr>
              <w:t>15 – 18</w:t>
            </w:r>
          </w:p>
        </w:tc>
        <w:tc>
          <w:tcPr>
            <w:tcW w:w="69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до 4</w:t>
            </w:r>
          </w:p>
          <w:p>
            <w:pPr>
              <w:spacing w:after="14"/>
              <w:ind w:left="14"/>
              <w:jc w:val="left"/>
            </w:pPr>
            <w:r>
              <w:rPr>
                <w:rFonts w:hint="default" w:ascii="Times New Roman" w:hAnsi="Times New Roman"/>
                <w:b w:val="false"/>
                <w:i w:val="false"/>
                <w:color w:val="000000"/>
                <w:sz w:val="24"/>
              </w:rPr>
              <w:t>5 – 6</w:t>
            </w:r>
          </w:p>
          <w:p>
            <w:pPr>
              <w:spacing w:after="14"/>
              <w:ind w:left="14"/>
              <w:jc w:val="left"/>
            </w:pPr>
            <w:r>
              <w:rPr>
                <w:rFonts w:hint="default" w:ascii="Times New Roman" w:hAnsi="Times New Roman"/>
                <w:b w:val="false"/>
                <w:i w:val="false"/>
                <w:color w:val="000000"/>
                <w:sz w:val="24"/>
              </w:rPr>
              <w:t>7 – 9</w:t>
            </w:r>
          </w:p>
          <w:p>
            <w:pPr>
              <w:spacing w:after="14"/>
              <w:ind w:left="14"/>
              <w:jc w:val="left"/>
            </w:pPr>
            <w:r>
              <w:rPr>
                <w:rFonts w:hint="default" w:ascii="Times New Roman" w:hAnsi="Times New Roman"/>
                <w:b w:val="false"/>
                <w:i w:val="false"/>
                <w:color w:val="000000"/>
                <w:sz w:val="24"/>
              </w:rPr>
              <w:t>10 – 11</w:t>
            </w:r>
          </w:p>
          <w:p>
            <w:pPr>
              <w:spacing w:after="14"/>
              <w:ind w:left="14"/>
              <w:jc w:val="left"/>
            </w:pPr>
            <w:r>
              <w:rPr>
                <w:rFonts w:hint="default" w:ascii="Times New Roman" w:hAnsi="Times New Roman"/>
                <w:b w:val="false"/>
                <w:i w:val="false"/>
                <w:color w:val="000000"/>
                <w:sz w:val="24"/>
              </w:rPr>
              <w:t>12 – 14</w:t>
            </w:r>
          </w:p>
          <w:p>
            <w:pPr>
              <w:spacing w:after="0"/>
              <w:ind w:left="14"/>
              <w:jc w:val="left"/>
            </w:pPr>
            <w:r>
              <w:rPr>
                <w:rFonts w:hint="default" w:ascii="Times New Roman" w:hAnsi="Times New Roman"/>
                <w:b w:val="false"/>
                <w:i w:val="false"/>
                <w:color w:val="000000"/>
                <w:sz w:val="24"/>
              </w:rPr>
              <w:t>15 – 18</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0,85</w:t>
            </w:r>
          </w:p>
          <w:p>
            <w:pPr>
              <w:spacing w:after="14"/>
              <w:ind w:left="14"/>
              <w:jc w:val="left"/>
            </w:pPr>
            <w:r>
              <w:rPr>
                <w:rFonts w:hint="default" w:ascii="Times New Roman" w:hAnsi="Times New Roman"/>
                <w:b w:val="false"/>
                <w:i w:val="false"/>
                <w:color w:val="000000"/>
                <w:sz w:val="24"/>
              </w:rPr>
              <w:t>0,75</w:t>
            </w:r>
          </w:p>
          <w:p>
            <w:pPr>
              <w:spacing w:after="14"/>
              <w:ind w:left="14"/>
              <w:jc w:val="left"/>
            </w:pPr>
            <w:r>
              <w:rPr>
                <w:rFonts w:hint="default" w:ascii="Times New Roman" w:hAnsi="Times New Roman"/>
                <w:b w:val="false"/>
                <w:i w:val="false"/>
                <w:color w:val="000000"/>
                <w:sz w:val="24"/>
              </w:rPr>
              <w:t>0,7</w:t>
            </w:r>
          </w:p>
          <w:p>
            <w:pPr>
              <w:spacing w:after="14"/>
              <w:ind w:left="14"/>
              <w:jc w:val="left"/>
            </w:pPr>
            <w:r>
              <w:rPr>
                <w:rFonts w:hint="default" w:ascii="Times New Roman" w:hAnsi="Times New Roman"/>
                <w:b w:val="false"/>
                <w:i w:val="false"/>
                <w:color w:val="000000"/>
                <w:sz w:val="24"/>
              </w:rPr>
              <w:t>0,65</w:t>
            </w:r>
          </w:p>
          <w:p>
            <w:pPr>
              <w:spacing w:after="0"/>
              <w:ind w:left="14"/>
              <w:jc w:val="left"/>
            </w:pPr>
            <w:r>
              <w:rPr>
                <w:rFonts w:hint="default" w:ascii="Times New Roman" w:hAnsi="Times New Roman"/>
                <w:b w:val="false"/>
                <w:i w:val="false"/>
                <w:color w:val="000000"/>
                <w:sz w:val="24"/>
              </w:rPr>
              <w:t>0,6</w:t>
            </w:r>
          </w:p>
        </w:tc>
        <w:tc>
          <w:tcPr>
            <w:tcW w:w="12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r>
        <w:trPr>
          <w:trHeight w:val="30" w:hRule="atLeast"/>
        </w:trPr>
        <w:tc>
          <w:tcPr>
            <w:tcW w:w="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Однослойно</w:t>
            </w:r>
          </w:p>
        </w:tc>
        <w:tc>
          <w:tcPr>
            <w:tcW w:w="71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 – 4</w:t>
            </w:r>
          </w:p>
          <w:p>
            <w:pPr>
              <w:spacing w:after="0"/>
              <w:ind w:left="14"/>
              <w:jc w:val="left"/>
            </w:pPr>
            <w:r>
              <w:rPr>
                <w:rFonts w:hint="default" w:ascii="Times New Roman" w:hAnsi="Times New Roman"/>
                <w:b w:val="false"/>
                <w:i w:val="false"/>
                <w:color w:val="000000"/>
                <w:sz w:val="24"/>
              </w:rPr>
              <w:t>5</w:t>
            </w:r>
          </w:p>
        </w:tc>
        <w:tc>
          <w:tcPr>
            <w:tcW w:w="69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 – 4</w:t>
            </w:r>
          </w:p>
          <w:p>
            <w:pPr>
              <w:spacing w:after="0"/>
              <w:ind w:left="14"/>
              <w:jc w:val="left"/>
            </w:pPr>
            <w:r>
              <w:rPr>
                <w:rFonts w:hint="default" w:ascii="Times New Roman" w:hAnsi="Times New Roman"/>
                <w:b w:val="false"/>
                <w:i w:val="false"/>
                <w:color w:val="000000"/>
                <w:sz w:val="24"/>
              </w:rPr>
              <w:t>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2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0,67</w:t>
            </w:r>
          </w:p>
          <w:p>
            <w:pPr>
              <w:spacing w:after="0"/>
              <w:ind w:left="14"/>
              <w:jc w:val="left"/>
            </w:pPr>
            <w:r>
              <w:rPr>
                <w:rFonts w:hint="default" w:ascii="Times New Roman" w:hAnsi="Times New Roman"/>
                <w:b w:val="false"/>
                <w:i w:val="false"/>
                <w:color w:val="000000"/>
                <w:sz w:val="24"/>
              </w:rPr>
              <w:t>0,6</w:t>
            </w:r>
          </w:p>
        </w:tc>
      </w:tr>
    </w:tbl>
    <w:bookmarkEnd w:id="4854"/>
    <w:bookmarkStart w:name="637606310" w:id="48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выборе снижающих коэффициентов контрольные и резервные провода и кабели не учитываются.</w:t>
      </w:r>
    </w:p>
    <w:bookmarkEnd w:id="4855"/>
    <w:bookmarkStart w:name="637606311" w:id="4856"/>
    <w:p>
      <w:pPr>
        <w:spacing w:before="120" w:after="120" w:line="240"/>
        <w:ind w:left="0"/>
        <w:jc w:val="both"/>
      </w:pPr>
      <w:r>
        <w:rPr>
          <w:rFonts w:hint="default" w:ascii="Times New Roman" w:hAnsi="Times New Roman"/>
          <w:b/>
          <w:i w:val="false"/>
          <w:color w:val="000000"/>
          <w:sz w:val="24"/>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bookmarkEnd w:id="4856"/>
    <w:bookmarkStart w:name="637606312" w:id="485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w:t>
      </w:r>
    </w:p>
    <w:bookmarkEnd w:id="4857"/>
    <w:bookmarkStart w:name="637606313" w:id="4858"/>
    <w:tbl>
      <w:tblPr>
        <w:tblW w:w="18660" w:type="auto"/>
        <w:tblCellSpacing w:w="0" w:type="auto"/>
        <w:tblBorders>
          <w:top w:val="none"/>
          <w:left w:val="none"/>
          <w:bottom w:val="none"/>
          <w:right w:val="none"/>
          <w:insideH w:val="none"/>
          <w:insideV w:val="none"/>
        </w:tblBorders>
        <w:tblLayout/>
      </w:tblPr>
      <w:tblGrid>
        <w:gridCol w:w="2551"/>
        <w:gridCol w:w="1918"/>
        <w:gridCol w:w="2163"/>
        <w:gridCol w:w="2277"/>
        <w:gridCol w:w="2277"/>
        <w:gridCol w:w="2277"/>
        <w:gridCol w:w="2537"/>
      </w:tblGrid>
      <w:tr>
        <w:trPr>
          <w:trHeight w:val="30" w:hRule="atLeast"/>
        </w:trPr>
        <w:tc>
          <w:tcPr>
            <w:tcW w:w="255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191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 жильных до 1 кВ</w:t>
            </w:r>
          </w:p>
        </w:tc>
        <w:tc>
          <w:tcPr>
            <w:tcW w:w="216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 жильных до 1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253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 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vMerge/>
            <w:tcBorders>
              <w:top w:val="nil"/>
              <w:left w:val="single" w:color="cfcfcf" w:sz="8"/>
              <w:bottom w:val="single" w:color="cfcfcf" w:sz="8"/>
              <w:right w:val="single" w:color="cfcfcf" w:sz="8"/>
            </w:tcBorders>
          </w:tcP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1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0"/>
              <w:ind w:left="14"/>
              <w:jc w:val="left"/>
            </w:pPr>
            <w:r>
              <w:rPr>
                <w:rFonts w:hint="default" w:ascii="Times New Roman" w:hAnsi="Times New Roman"/>
                <w:b w:val="false"/>
                <w:i w:val="false"/>
                <w:color w:val="000000"/>
                <w:sz w:val="24"/>
              </w:rPr>
              <w:t>10</w:t>
            </w:r>
          </w:p>
        </w:tc>
        <w:tc>
          <w:tcPr>
            <w:tcW w:w="19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140</w:t>
            </w:r>
          </w:p>
        </w:tc>
        <w:tc>
          <w:tcPr>
            <w:tcW w:w="21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80</w:t>
            </w:r>
          </w:p>
          <w:p>
            <w:pPr>
              <w:spacing w:after="0"/>
              <w:ind w:left="14"/>
              <w:jc w:val="left"/>
            </w:pPr>
            <w:r>
              <w:rPr>
                <w:rFonts w:hint="default" w:ascii="Times New Roman" w:hAnsi="Times New Roman"/>
                <w:b w:val="false"/>
                <w:i w:val="false"/>
                <w:color w:val="000000"/>
                <w:sz w:val="24"/>
              </w:rPr>
              <w:t>105</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70</w:t>
            </w:r>
          </w:p>
          <w:p>
            <w:pPr>
              <w:spacing w:after="0"/>
              <w:ind w:left="14"/>
              <w:jc w:val="left"/>
            </w:pPr>
            <w:r>
              <w:rPr>
                <w:rFonts w:hint="default" w:ascii="Times New Roman" w:hAnsi="Times New Roman"/>
                <w:b w:val="false"/>
                <w:i w:val="false"/>
                <w:color w:val="000000"/>
                <w:sz w:val="24"/>
              </w:rPr>
              <w:t>95</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80</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85</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0"/>
              <w:ind w:left="14"/>
              <w:jc w:val="left"/>
            </w:pPr>
            <w:r>
              <w:rPr>
                <w:rFonts w:hint="default" w:ascii="Times New Roman" w:hAnsi="Times New Roman"/>
                <w:b w:val="false"/>
                <w:i w:val="false"/>
                <w:color w:val="000000"/>
                <w:sz w:val="24"/>
              </w:rPr>
              <w:t>300</w:t>
            </w:r>
          </w:p>
        </w:tc>
        <w:tc>
          <w:tcPr>
            <w:tcW w:w="19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285</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520</w:t>
            </w:r>
          </w:p>
          <w:p>
            <w:pPr>
              <w:spacing w:after="14"/>
              <w:ind w:left="14"/>
              <w:jc w:val="left"/>
            </w:pPr>
            <w:r>
              <w:rPr>
                <w:rFonts w:hint="default" w:ascii="Times New Roman" w:hAnsi="Times New Roman"/>
                <w:b w:val="false"/>
                <w:i w:val="false"/>
                <w:color w:val="000000"/>
                <w:sz w:val="24"/>
              </w:rPr>
              <w:t>595</w:t>
            </w:r>
          </w:p>
          <w:p>
            <w:pPr>
              <w:spacing w:after="14"/>
              <w:ind w:left="14"/>
              <w:jc w:val="left"/>
            </w:pPr>
            <w:r>
              <w:rPr>
                <w:rFonts w:hint="default" w:ascii="Times New Roman" w:hAnsi="Times New Roman"/>
                <w:b w:val="false"/>
                <w:i w:val="false"/>
                <w:color w:val="000000"/>
                <w:sz w:val="24"/>
              </w:rPr>
              <w:t>675</w:t>
            </w:r>
          </w:p>
          <w:p>
            <w:pPr>
              <w:spacing w:after="14"/>
              <w:ind w:left="14"/>
              <w:jc w:val="left"/>
            </w:pPr>
            <w:r>
              <w:rPr>
                <w:rFonts w:hint="default" w:ascii="Times New Roman" w:hAnsi="Times New Roman"/>
                <w:b w:val="false"/>
                <w:i w:val="false"/>
                <w:color w:val="000000"/>
                <w:sz w:val="24"/>
              </w:rPr>
              <w:t>755</w:t>
            </w:r>
          </w:p>
          <w:p>
            <w:pPr>
              <w:spacing w:after="14"/>
              <w:ind w:left="14"/>
              <w:jc w:val="left"/>
            </w:pPr>
            <w:r>
              <w:rPr>
                <w:rFonts w:hint="default" w:ascii="Times New Roman" w:hAnsi="Times New Roman"/>
                <w:b w:val="false"/>
                <w:i w:val="false"/>
                <w:color w:val="000000"/>
                <w:sz w:val="24"/>
              </w:rPr>
              <w:t>880</w:t>
            </w:r>
          </w:p>
          <w:p>
            <w:pPr>
              <w:spacing w:after="0"/>
              <w:ind w:left="14"/>
              <w:jc w:val="left"/>
            </w:pPr>
            <w:r>
              <w:rPr>
                <w:rFonts w:hint="default" w:ascii="Times New Roman" w:hAnsi="Times New Roman"/>
                <w:b w:val="false"/>
                <w:i w:val="false"/>
                <w:color w:val="000000"/>
                <w:sz w:val="24"/>
              </w:rPr>
              <w:t>1000</w:t>
            </w:r>
          </w:p>
        </w:tc>
        <w:tc>
          <w:tcPr>
            <w:tcW w:w="21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325</w:t>
            </w:r>
          </w:p>
          <w:p>
            <w:pPr>
              <w:spacing w:after="14"/>
              <w:ind w:left="14"/>
              <w:jc w:val="left"/>
            </w:pPr>
            <w:r>
              <w:rPr>
                <w:rFonts w:hint="default" w:ascii="Times New Roman" w:hAnsi="Times New Roman"/>
                <w:b w:val="false"/>
                <w:i w:val="false"/>
                <w:color w:val="000000"/>
                <w:sz w:val="24"/>
              </w:rPr>
              <w:t>380</w:t>
            </w:r>
          </w:p>
          <w:p>
            <w:pPr>
              <w:spacing w:after="14"/>
              <w:ind w:left="14"/>
              <w:jc w:val="left"/>
            </w:pPr>
            <w:r>
              <w:rPr>
                <w:rFonts w:hint="default" w:ascii="Times New Roman" w:hAnsi="Times New Roman"/>
                <w:b w:val="false"/>
                <w:i w:val="false"/>
                <w:color w:val="000000"/>
                <w:sz w:val="24"/>
              </w:rPr>
              <w:t>435</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285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435</w:t>
            </w:r>
          </w:p>
          <w:p>
            <w:pPr>
              <w:spacing w:after="14"/>
              <w:ind w:left="14"/>
              <w:jc w:val="left"/>
            </w:pPr>
            <w:r>
              <w:rPr>
                <w:rFonts w:hint="default" w:ascii="Times New Roman" w:hAnsi="Times New Roman"/>
                <w:b w:val="false"/>
                <w:i w:val="false"/>
                <w:color w:val="000000"/>
                <w:sz w:val="24"/>
              </w:rPr>
              <w:t>490</w:t>
            </w:r>
          </w:p>
          <w:p>
            <w:pPr>
              <w:spacing w:after="14"/>
              <w:ind w:left="14"/>
              <w:jc w:val="left"/>
            </w:pPr>
            <w:r>
              <w:rPr>
                <w:rFonts w:hint="default" w:ascii="Times New Roman" w:hAnsi="Times New Roman"/>
                <w:b w:val="false"/>
                <w:i w:val="false"/>
                <w:color w:val="000000"/>
                <w:sz w:val="24"/>
              </w:rPr>
              <w:t>570</w:t>
            </w:r>
          </w:p>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510</w:t>
            </w:r>
          </w:p>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265</w:t>
            </w:r>
          </w:p>
          <w:p>
            <w:pPr>
              <w:spacing w:after="14"/>
              <w:ind w:left="14"/>
              <w:jc w:val="left"/>
            </w:pPr>
            <w:r>
              <w:rPr>
                <w:rFonts w:hint="default" w:ascii="Times New Roman" w:hAnsi="Times New Roman"/>
                <w:b w:val="false"/>
                <w:i w:val="false"/>
                <w:color w:val="000000"/>
                <w:sz w:val="24"/>
              </w:rPr>
              <w:t>310</w:t>
            </w:r>
          </w:p>
          <w:p>
            <w:pPr>
              <w:spacing w:after="14"/>
              <w:ind w:left="14"/>
              <w:jc w:val="left"/>
            </w:pPr>
            <w:r>
              <w:rPr>
                <w:rFonts w:hint="default" w:ascii="Times New Roman" w:hAnsi="Times New Roman"/>
                <w:b w:val="false"/>
                <w:i w:val="false"/>
                <w:color w:val="000000"/>
                <w:sz w:val="24"/>
              </w:rPr>
              <w:t>355</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460</w:t>
            </w:r>
          </w:p>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265</w:t>
            </w:r>
          </w:p>
          <w:p>
            <w:pPr>
              <w:spacing w:after="14"/>
              <w:ind w:left="14"/>
              <w:jc w:val="left"/>
            </w:pPr>
            <w:r>
              <w:rPr>
                <w:rFonts w:hint="default" w:ascii="Times New Roman" w:hAnsi="Times New Roman"/>
                <w:b w:val="false"/>
                <w:i w:val="false"/>
                <w:color w:val="000000"/>
                <w:sz w:val="24"/>
              </w:rPr>
              <w:t>310</w:t>
            </w:r>
          </w:p>
          <w:p>
            <w:pPr>
              <w:spacing w:after="14"/>
              <w:ind w:left="14"/>
              <w:jc w:val="left"/>
            </w:pPr>
            <w:r>
              <w:rPr>
                <w:rFonts w:hint="default" w:ascii="Times New Roman" w:hAnsi="Times New Roman"/>
                <w:b w:val="false"/>
                <w:i w:val="false"/>
                <w:color w:val="000000"/>
                <w:sz w:val="24"/>
              </w:rPr>
              <w:t>350</w:t>
            </w:r>
          </w:p>
          <w:p>
            <w:pPr>
              <w:spacing w:after="14"/>
              <w:ind w:left="14"/>
              <w:jc w:val="left"/>
            </w:pPr>
            <w:r>
              <w:rPr>
                <w:rFonts w:hint="default" w:ascii="Times New Roman" w:hAnsi="Times New Roman"/>
                <w:b w:val="false"/>
                <w:i w:val="false"/>
                <w:color w:val="000000"/>
                <w:sz w:val="24"/>
              </w:rPr>
              <w:t>395</w:t>
            </w:r>
          </w:p>
          <w:p>
            <w:pPr>
              <w:spacing w:after="14"/>
              <w:ind w:left="14"/>
              <w:jc w:val="left"/>
            </w:pPr>
            <w:r>
              <w:rPr>
                <w:rFonts w:hint="default" w:ascii="Times New Roman" w:hAnsi="Times New Roman"/>
                <w:b w:val="false"/>
                <w:i w:val="false"/>
                <w:color w:val="000000"/>
                <w:sz w:val="24"/>
              </w:rPr>
              <w:t>450</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19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1220</w:t>
            </w:r>
          </w:p>
        </w:tc>
        <w:tc>
          <w:tcPr>
            <w:tcW w:w="21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9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1400</w:t>
            </w:r>
          </w:p>
        </w:tc>
        <w:tc>
          <w:tcPr>
            <w:tcW w:w="21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625</w:t>
            </w:r>
          </w:p>
        </w:tc>
        <w:tc>
          <w:tcPr>
            <w:tcW w:w="19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1520</w:t>
            </w:r>
          </w:p>
        </w:tc>
        <w:tc>
          <w:tcPr>
            <w:tcW w:w="21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5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c>
          <w:tcPr>
            <w:tcW w:w="19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1700</w:t>
            </w:r>
          </w:p>
        </w:tc>
        <w:tc>
          <w:tcPr>
            <w:tcW w:w="21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2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4858"/>
    <w:bookmarkStart w:name="637606314" w:id="4859"/>
    <w:p>
      <w:pPr>
        <w:spacing w:before="120" w:after="120" w:line="240"/>
        <w:ind w:left="0"/>
        <w:jc w:val="both"/>
      </w:pPr>
      <w:r>
        <w:rPr>
          <w:rFonts w:hint="default" w:ascii="Times New Roman" w:hAnsi="Times New Roman"/>
          <w:b/>
          <w:i w:val="false"/>
          <w:color w:val="000000"/>
          <w:sz w:val="24"/>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bookmarkEnd w:id="4859"/>
    <w:bookmarkStart w:name="637606315" w:id="486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w:t>
      </w:r>
    </w:p>
    <w:bookmarkEnd w:id="4860"/>
    <w:bookmarkStart w:name="637606316" w:id="4861"/>
    <w:tbl>
      <w:tblPr>
        <w:tblW w:w="18660" w:type="auto"/>
        <w:tblCellSpacing w:w="0" w:type="auto"/>
        <w:tblBorders>
          <w:top w:val="none"/>
          <w:left w:val="none"/>
          <w:bottom w:val="none"/>
          <w:right w:val="none"/>
          <w:insideH w:val="none"/>
          <w:insideV w:val="none"/>
        </w:tblBorders>
        <w:tblLayout/>
      </w:tblPr>
      <w:tblGrid>
        <w:gridCol w:w="967"/>
        <w:gridCol w:w="913"/>
        <w:gridCol w:w="959"/>
        <w:gridCol w:w="946"/>
        <w:gridCol w:w="11485"/>
        <w:gridCol w:w="730"/>
      </w:tblGrid>
      <w:tr>
        <w:trPr>
          <w:trHeight w:val="30" w:hRule="atLeast"/>
        </w:trPr>
        <w:tc>
          <w:tcPr>
            <w:tcW w:w="96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9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9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gridSpan w:val="2"/>
            <w:tcBorders>
              <w:left w:val="single" w:color="cfcfcf" w:sz="8"/>
              <w:bottom w:val="single" w:color="cfcfcf" w:sz="8"/>
              <w:right w:val="single" w:color="cfcfcf" w:sz="8"/>
            </w:tcBorders>
            <w:vAlign w:val="center"/>
          </w:tcPr>
          <w:p>
            <w:pPr>
              <w:spacing w:after="0"/>
              <w:ind w:left="0"/>
              <w:jc w:val="left"/>
            </w:pPr>
          </w:p>
        </w:tc>
      </w:tr>
      <w:tr>
        <w:trPr>
          <w:trHeight w:val="30" w:hRule="atLeast"/>
        </w:trPr>
        <w:tc>
          <w:tcPr>
            <w:tcW w:w="96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240</w:t>
            </w:r>
          </w:p>
        </w:tc>
        <w:tc>
          <w:tcPr>
            <w:tcW w:w="91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305</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565</w:t>
            </w:r>
          </w:p>
          <w:p>
            <w:pPr>
              <w:spacing w:after="14"/>
              <w:ind w:left="14"/>
              <w:jc w:val="left"/>
            </w:pPr>
            <w:r>
              <w:rPr>
                <w:rFonts w:hint="default" w:ascii="Times New Roman" w:hAnsi="Times New Roman"/>
                <w:b w:val="false"/>
                <w:i w:val="false"/>
                <w:color w:val="000000"/>
                <w:sz w:val="24"/>
              </w:rPr>
              <w:t>615</w:t>
            </w:r>
          </w:p>
          <w:p>
            <w:pPr>
              <w:spacing w:after="0"/>
              <w:ind w:left="14"/>
              <w:jc w:val="left"/>
            </w:pPr>
            <w:r>
              <w:rPr>
                <w:rFonts w:hint="default" w:ascii="Times New Roman" w:hAnsi="Times New Roman"/>
                <w:b w:val="false"/>
                <w:i w:val="false"/>
                <w:color w:val="000000"/>
                <w:sz w:val="24"/>
              </w:rPr>
              <w:t>715</w:t>
            </w:r>
          </w:p>
        </w:tc>
        <w:tc>
          <w:tcPr>
            <w:tcW w:w="9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205</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310</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430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545</w:t>
            </w:r>
          </w:p>
          <w:p>
            <w:pPr>
              <w:spacing w:after="0"/>
              <w:ind w:left="14"/>
              <w:jc w:val="left"/>
            </w:pPr>
            <w:r>
              <w:rPr>
                <w:rFonts w:hint="default" w:ascii="Times New Roman" w:hAnsi="Times New Roman"/>
                <w:b w:val="false"/>
                <w:i w:val="false"/>
                <w:color w:val="000000"/>
                <w:sz w:val="24"/>
              </w:rPr>
              <w:t>625</w:t>
            </w:r>
          </w:p>
        </w:tc>
        <w:tc>
          <w:tcPr>
            <w:tcW w:w="94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395</w:t>
            </w:r>
          </w:p>
          <w:p>
            <w:pPr>
              <w:spacing w:after="14"/>
              <w:ind w:left="14"/>
              <w:jc w:val="left"/>
            </w:pPr>
            <w:r>
              <w:rPr>
                <w:rFonts w:hint="default" w:ascii="Times New Roman" w:hAnsi="Times New Roman"/>
                <w:b w:val="false"/>
                <w:i w:val="false"/>
                <w:color w:val="000000"/>
                <w:sz w:val="24"/>
              </w:rPr>
              <w:t>450</w:t>
            </w:r>
          </w:p>
          <w:p>
            <w:pPr>
              <w:spacing w:after="14"/>
              <w:ind w:left="14"/>
              <w:jc w:val="left"/>
            </w:pPr>
            <w:r>
              <w:rPr>
                <w:rFonts w:hint="default" w:ascii="Times New Roman" w:hAnsi="Times New Roman"/>
                <w:b w:val="false"/>
                <w:i w:val="false"/>
                <w:color w:val="000000"/>
                <w:sz w:val="24"/>
              </w:rPr>
              <w:t>510</w:t>
            </w:r>
          </w:p>
          <w:p>
            <w:pPr>
              <w:spacing w:after="0"/>
              <w:ind w:left="14"/>
              <w:jc w:val="left"/>
            </w:pPr>
            <w:r>
              <w:rPr>
                <w:rFonts w:hint="default" w:ascii="Times New Roman" w:hAnsi="Times New Roman"/>
                <w:b w:val="false"/>
                <w:i w:val="false"/>
                <w:color w:val="000000"/>
                <w:sz w:val="24"/>
              </w:rPr>
              <w:t>585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195</w:t>
            </w:r>
          </w:p>
          <w:p>
            <w:pPr>
              <w:spacing w:after="14"/>
              <w:ind w:left="14"/>
              <w:jc w:val="left"/>
            </w:pPr>
            <w:r>
              <w:rPr>
                <w:rFonts w:hint="default" w:ascii="Times New Roman" w:hAnsi="Times New Roman"/>
                <w:b w:val="false"/>
                <w:i w:val="false"/>
                <w:color w:val="000000"/>
                <w:sz w:val="24"/>
              </w:rPr>
              <w:t>230</w:t>
            </w:r>
          </w:p>
          <w:p>
            <w:pPr>
              <w:spacing w:after="14"/>
              <w:ind w:left="14"/>
              <w:jc w:val="left"/>
            </w:pPr>
            <w:r>
              <w:rPr>
                <w:rFonts w:hint="default" w:ascii="Times New Roman" w:hAnsi="Times New Roman"/>
                <w:b w:val="false"/>
                <w:i w:val="false"/>
                <w:color w:val="000000"/>
                <w:sz w:val="24"/>
              </w:rPr>
              <w:t>285</w:t>
            </w:r>
          </w:p>
          <w:p>
            <w:pPr>
              <w:spacing w:after="14"/>
              <w:ind w:left="14"/>
              <w:jc w:val="left"/>
            </w:pPr>
            <w:r>
              <w:rPr>
                <w:rFonts w:hint="default" w:ascii="Times New Roman" w:hAnsi="Times New Roman"/>
                <w:b w:val="false"/>
                <w:i w:val="false"/>
                <w:color w:val="000000"/>
                <w:sz w:val="24"/>
              </w:rPr>
              <w:t>350</w:t>
            </w:r>
          </w:p>
          <w:p>
            <w:pPr>
              <w:spacing w:after="14"/>
              <w:ind w:left="14"/>
              <w:jc w:val="left"/>
            </w:pPr>
            <w:r>
              <w:rPr>
                <w:rFonts w:hint="default" w:ascii="Times New Roman" w:hAnsi="Times New Roman"/>
                <w:b w:val="false"/>
                <w:i w:val="false"/>
                <w:color w:val="000000"/>
                <w:sz w:val="24"/>
              </w:rPr>
              <w:t>410</w:t>
            </w:r>
          </w:p>
          <w:p>
            <w:pPr>
              <w:spacing w:after="14"/>
              <w:ind w:left="14"/>
              <w:jc w:val="left"/>
            </w:pPr>
            <w:r>
              <w:rPr>
                <w:rFonts w:hint="default" w:ascii="Times New Roman" w:hAnsi="Times New Roman"/>
                <w:b w:val="false"/>
                <w:i w:val="false"/>
                <w:color w:val="000000"/>
                <w:sz w:val="24"/>
              </w:rPr>
              <w:t>470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61"/>
    <w:bookmarkStart w:name="637606317" w:id="4862"/>
    <w:p>
      <w:pPr>
        <w:spacing w:before="120" w:after="120" w:line="240"/>
        <w:ind w:left="0"/>
        <w:jc w:val="both"/>
      </w:pPr>
      <w:r>
        <w:rPr>
          <w:rFonts w:hint="default" w:ascii="Times New Roman" w:hAnsi="Times New Roman"/>
          <w:b/>
          <w:i w:val="false"/>
          <w:color w:val="000000"/>
          <w:sz w:val="24"/>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bookmarkEnd w:id="4862"/>
    <w:bookmarkStart w:name="637606318" w:id="486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w:t>
      </w:r>
    </w:p>
    <w:bookmarkEnd w:id="4863"/>
    <w:bookmarkStart w:name="637606319" w:id="4864"/>
    <w:tbl>
      <w:tblPr>
        <w:tblW w:w="18660" w:type="auto"/>
        <w:tblCellSpacing w:w="0" w:type="auto"/>
        <w:tblBorders>
          <w:top w:val="none"/>
          <w:left w:val="none"/>
          <w:bottom w:val="none"/>
          <w:right w:val="none"/>
          <w:insideH w:val="none"/>
          <w:insideV w:val="none"/>
        </w:tblBorders>
        <w:tblLayout/>
      </w:tblPr>
      <w:tblGrid>
        <w:gridCol w:w="819"/>
        <w:gridCol w:w="940"/>
        <w:gridCol w:w="813"/>
        <w:gridCol w:w="778"/>
        <w:gridCol w:w="778"/>
        <w:gridCol w:w="802"/>
        <w:gridCol w:w="10531"/>
        <w:gridCol w:w="539"/>
      </w:tblGrid>
      <w:tr>
        <w:trPr>
          <w:trHeight w:val="30" w:hRule="atLeast"/>
        </w:trPr>
        <w:tc>
          <w:tcPr>
            <w:tcW w:w="81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94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 до 1 кВ</w:t>
            </w:r>
          </w:p>
        </w:tc>
        <w:tc>
          <w:tcPr>
            <w:tcW w:w="81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 до 1 кВ</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5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7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7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8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gridSpan w:val="2"/>
            <w:tcBorders>
              <w:left w:val="single" w:color="cfcfcf" w:sz="8"/>
              <w:bottom w:val="single" w:color="cfcfcf" w:sz="8"/>
              <w:right w:val="single" w:color="cfcfcf" w:sz="8"/>
            </w:tcBorders>
            <w:vAlign w:val="center"/>
          </w:tcPr>
          <w:p>
            <w:pPr>
              <w:spacing w:after="0"/>
              <w:ind w:left="0"/>
              <w:jc w:val="left"/>
            </w:pPr>
          </w:p>
        </w:tc>
      </w:tr>
      <w:tr>
        <w:trPr>
          <w:trHeight w:val="30" w:hRule="atLeast"/>
        </w:trPr>
        <w:tc>
          <w:tcPr>
            <w:tcW w:w="81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625</w:t>
            </w:r>
          </w:p>
          <w:p>
            <w:pPr>
              <w:spacing w:after="0"/>
              <w:ind w:left="14"/>
              <w:jc w:val="left"/>
            </w:pPr>
            <w:r>
              <w:rPr>
                <w:rFonts w:hint="default" w:ascii="Times New Roman" w:hAnsi="Times New Roman"/>
                <w:b w:val="false"/>
                <w:i w:val="false"/>
                <w:color w:val="000000"/>
                <w:sz w:val="24"/>
              </w:rPr>
              <w:t>800</w:t>
            </w:r>
          </w:p>
        </w:tc>
        <w:tc>
          <w:tcPr>
            <w:tcW w:w="94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305</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415</w:t>
            </w:r>
          </w:p>
          <w:p>
            <w:pPr>
              <w:spacing w:after="14"/>
              <w:ind w:left="14"/>
              <w:jc w:val="left"/>
            </w:pPr>
            <w:r>
              <w:rPr>
                <w:rFonts w:hint="default" w:ascii="Times New Roman" w:hAnsi="Times New Roman"/>
                <w:b w:val="false"/>
                <w:i w:val="false"/>
                <w:color w:val="000000"/>
                <w:sz w:val="24"/>
              </w:rPr>
              <w:t>470</w:t>
            </w:r>
          </w:p>
          <w:p>
            <w:pPr>
              <w:spacing w:after="14"/>
              <w:ind w:left="14"/>
              <w:jc w:val="left"/>
            </w:pPr>
            <w:r>
              <w:rPr>
                <w:rFonts w:hint="default" w:ascii="Times New Roman" w:hAnsi="Times New Roman"/>
                <w:b w:val="false"/>
                <w:i w:val="false"/>
                <w:color w:val="000000"/>
                <w:sz w:val="24"/>
              </w:rPr>
              <w:t>525</w:t>
            </w:r>
          </w:p>
          <w:p>
            <w:pPr>
              <w:spacing w:after="14"/>
              <w:ind w:left="14"/>
              <w:jc w:val="left"/>
            </w:pPr>
            <w:r>
              <w:rPr>
                <w:rFonts w:hint="default" w:ascii="Times New Roman" w:hAnsi="Times New Roman"/>
                <w:b w:val="false"/>
                <w:i w:val="false"/>
                <w:color w:val="000000"/>
                <w:sz w:val="24"/>
              </w:rPr>
              <w:t>610</w:t>
            </w:r>
          </w:p>
          <w:p>
            <w:pPr>
              <w:spacing w:after="14"/>
              <w:ind w:left="14"/>
              <w:jc w:val="left"/>
            </w:pPr>
            <w:r>
              <w:rPr>
                <w:rFonts w:hint="default" w:ascii="Times New Roman" w:hAnsi="Times New Roman"/>
                <w:b w:val="false"/>
                <w:i w:val="false"/>
                <w:color w:val="000000"/>
                <w:sz w:val="24"/>
              </w:rPr>
              <w:t>720</w:t>
            </w:r>
          </w:p>
          <w:p>
            <w:pPr>
              <w:spacing w:after="14"/>
              <w:ind w:left="14"/>
              <w:jc w:val="left"/>
            </w:pPr>
            <w:r>
              <w:rPr>
                <w:rFonts w:hint="default" w:ascii="Times New Roman" w:hAnsi="Times New Roman"/>
                <w:b w:val="false"/>
                <w:i w:val="false"/>
                <w:color w:val="000000"/>
                <w:sz w:val="24"/>
              </w:rPr>
              <w:t>880</w:t>
            </w:r>
          </w:p>
          <w:p>
            <w:pPr>
              <w:spacing w:after="14"/>
              <w:ind w:left="14"/>
              <w:jc w:val="left"/>
            </w:pPr>
            <w:r>
              <w:rPr>
                <w:rFonts w:hint="default" w:ascii="Times New Roman" w:hAnsi="Times New Roman"/>
                <w:b w:val="false"/>
                <w:i w:val="false"/>
                <w:color w:val="000000"/>
                <w:sz w:val="24"/>
              </w:rPr>
              <w:t>1020</w:t>
            </w:r>
          </w:p>
          <w:p>
            <w:pPr>
              <w:spacing w:after="14"/>
              <w:ind w:left="14"/>
              <w:jc w:val="left"/>
            </w:pPr>
            <w:r>
              <w:rPr>
                <w:rFonts w:hint="default" w:ascii="Times New Roman" w:hAnsi="Times New Roman"/>
                <w:b w:val="false"/>
                <w:i w:val="false"/>
                <w:color w:val="000000"/>
                <w:sz w:val="24"/>
              </w:rPr>
              <w:t>1180</w:t>
            </w:r>
          </w:p>
          <w:p>
            <w:pPr>
              <w:spacing w:after="0"/>
              <w:ind w:left="14"/>
              <w:jc w:val="left"/>
            </w:pPr>
            <w:r>
              <w:rPr>
                <w:rFonts w:hint="default" w:ascii="Times New Roman" w:hAnsi="Times New Roman"/>
                <w:b w:val="false"/>
                <w:i w:val="false"/>
                <w:color w:val="000000"/>
                <w:sz w:val="24"/>
              </w:rPr>
              <w:t>1400</w:t>
            </w:r>
          </w:p>
        </w:tc>
        <w:tc>
          <w:tcPr>
            <w:tcW w:w="81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320</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77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285</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430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77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325</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80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305</w:t>
            </w:r>
          </w:p>
          <w:p>
            <w:pPr>
              <w:spacing w:after="14"/>
              <w:ind w:left="14"/>
              <w:jc w:val="left"/>
            </w:pPr>
            <w:r>
              <w:rPr>
                <w:rFonts w:hint="default" w:ascii="Times New Roman" w:hAnsi="Times New Roman"/>
                <w:b w:val="false"/>
                <w:i w:val="false"/>
                <w:color w:val="000000"/>
                <w:sz w:val="24"/>
              </w:rPr>
              <w:t>350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64"/>
    <w:bookmarkStart w:name="637606320" w:id="4865"/>
    <w:p>
      <w:pPr>
        <w:spacing w:before="120" w:after="120" w:line="240"/>
        <w:ind w:left="0"/>
        <w:jc w:val="both"/>
      </w:pPr>
      <w:r>
        <w:rPr>
          <w:rFonts w:hint="default" w:ascii="Times New Roman" w:hAnsi="Times New Roman"/>
          <w:b/>
          <w:i w:val="false"/>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оболочке,прокладываемых в земле</w:t>
      </w:r>
    </w:p>
    <w:bookmarkEnd w:id="4865"/>
    <w:bookmarkStart w:name="637606321" w:id="486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w:t>
      </w:r>
    </w:p>
    <w:bookmarkEnd w:id="4866"/>
    <w:bookmarkStart w:name="637606322" w:id="4867"/>
    <w:tbl>
      <w:tblPr>
        <w:tblW w:w="18660" w:type="auto"/>
        <w:tblCellSpacing w:w="0" w:type="auto"/>
        <w:tblBorders>
          <w:top w:val="none"/>
          <w:left w:val="none"/>
          <w:bottom w:val="none"/>
          <w:right w:val="none"/>
          <w:insideH w:val="none"/>
          <w:insideV w:val="none"/>
        </w:tblBorders>
        <w:tblLayout/>
      </w:tblPr>
      <w:tblGrid>
        <w:gridCol w:w="2559"/>
        <w:gridCol w:w="2151"/>
        <w:gridCol w:w="2366"/>
        <w:gridCol w:w="2349"/>
        <w:gridCol w:w="2121"/>
        <w:gridCol w:w="2121"/>
        <w:gridCol w:w="2333"/>
      </w:tblGrid>
      <w:tr>
        <w:trPr>
          <w:trHeight w:val="30" w:hRule="atLeast"/>
        </w:trPr>
        <w:tc>
          <w:tcPr>
            <w:tcW w:w="255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215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 до 1 кВ</w:t>
            </w:r>
          </w:p>
        </w:tc>
        <w:tc>
          <w:tcPr>
            <w:tcW w:w="236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 до 1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233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21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1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vMerge/>
            <w:tcBorders>
              <w:top w:val="nil"/>
              <w:left w:val="single" w:color="cfcfcf" w:sz="8"/>
              <w:bottom w:val="single" w:color="cfcfcf" w:sz="8"/>
              <w:right w:val="single" w:color="cfcfcf" w:sz="8"/>
            </w:tcBorders>
          </w:tcPr>
          <w:p/>
        </w:tc>
      </w:tr>
      <w:tr>
        <w:trPr>
          <w:trHeight w:val="30" w:hRule="atLeast"/>
        </w:trPr>
        <w:tc>
          <w:tcPr>
            <w:tcW w:w="25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1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1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1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3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r>
      <w:tr>
        <w:trPr>
          <w:trHeight w:val="30" w:hRule="atLeast"/>
        </w:trPr>
        <w:tc>
          <w:tcPr>
            <w:tcW w:w="25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0"/>
              <w:ind w:left="14"/>
              <w:jc w:val="left"/>
            </w:pPr>
            <w:r>
              <w:rPr>
                <w:rFonts w:hint="default" w:ascii="Times New Roman" w:hAnsi="Times New Roman"/>
                <w:b w:val="false"/>
                <w:i w:val="false"/>
                <w:color w:val="000000"/>
                <w:sz w:val="24"/>
              </w:rPr>
              <w:t>150</w:t>
            </w:r>
          </w:p>
        </w:tc>
        <w:tc>
          <w:tcPr>
            <w:tcW w:w="215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460</w:t>
            </w:r>
          </w:p>
          <w:p>
            <w:pPr>
              <w:spacing w:after="0"/>
              <w:ind w:left="14"/>
              <w:jc w:val="left"/>
            </w:pPr>
            <w:r>
              <w:rPr>
                <w:rFonts w:hint="default" w:ascii="Times New Roman" w:hAnsi="Times New Roman"/>
                <w:b w:val="false"/>
                <w:i w:val="false"/>
                <w:color w:val="000000"/>
                <w:sz w:val="24"/>
              </w:rPr>
              <w:t>520</w:t>
            </w:r>
          </w:p>
        </w:tc>
        <w:tc>
          <w:tcPr>
            <w:tcW w:w="23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335</w:t>
            </w:r>
          </w:p>
          <w:p>
            <w:pPr>
              <w:spacing w:after="0"/>
              <w:ind w:left="14"/>
              <w:jc w:val="left"/>
            </w:pPr>
            <w:r>
              <w:rPr>
                <w:rFonts w:hint="default" w:ascii="Times New Roman" w:hAnsi="Times New Roman"/>
                <w:b w:val="false"/>
                <w:i w:val="false"/>
                <w:color w:val="000000"/>
                <w:sz w:val="24"/>
              </w:rPr>
              <w:t>385</w:t>
            </w:r>
          </w:p>
        </w:tc>
        <w:tc>
          <w:tcPr>
            <w:tcW w:w="23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300</w:t>
            </w:r>
          </w:p>
          <w:p>
            <w:pPr>
              <w:spacing w:after="0"/>
              <w:ind w:left="14"/>
              <w:jc w:val="left"/>
            </w:pPr>
            <w:r>
              <w:rPr>
                <w:rFonts w:hint="default" w:ascii="Times New Roman" w:hAnsi="Times New Roman"/>
                <w:b w:val="false"/>
                <w:i w:val="false"/>
                <w:color w:val="000000"/>
                <w:sz w:val="24"/>
              </w:rPr>
              <w:t>335</w:t>
            </w:r>
          </w:p>
        </w:tc>
        <w:tc>
          <w:tcPr>
            <w:tcW w:w="212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260</w:t>
            </w:r>
          </w:p>
          <w:p>
            <w:pPr>
              <w:spacing w:after="0"/>
              <w:ind w:left="14"/>
              <w:jc w:val="left"/>
            </w:pPr>
            <w:r>
              <w:rPr>
                <w:rFonts w:hint="default" w:ascii="Times New Roman" w:hAnsi="Times New Roman"/>
                <w:b w:val="false"/>
                <w:i w:val="false"/>
                <w:color w:val="000000"/>
                <w:sz w:val="24"/>
              </w:rPr>
              <w:t>300</w:t>
            </w:r>
          </w:p>
        </w:tc>
        <w:tc>
          <w:tcPr>
            <w:tcW w:w="212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205</w:t>
            </w:r>
          </w:p>
          <w:p>
            <w:pPr>
              <w:spacing w:after="14"/>
              <w:ind w:left="14"/>
              <w:jc w:val="left"/>
            </w:pPr>
            <w:r>
              <w:rPr>
                <w:rFonts w:hint="default" w:ascii="Times New Roman" w:hAnsi="Times New Roman"/>
                <w:b w:val="false"/>
                <w:i w:val="false"/>
                <w:color w:val="000000"/>
                <w:sz w:val="24"/>
              </w:rPr>
              <w:t>240</w:t>
            </w:r>
          </w:p>
          <w:p>
            <w:pPr>
              <w:spacing w:after="0"/>
              <w:ind w:left="14"/>
              <w:jc w:val="left"/>
            </w:pPr>
            <w:r>
              <w:rPr>
                <w:rFonts w:hint="default" w:ascii="Times New Roman" w:hAnsi="Times New Roman"/>
                <w:b w:val="false"/>
                <w:i w:val="false"/>
                <w:color w:val="000000"/>
                <w:sz w:val="24"/>
              </w:rPr>
              <w:t>275</w:t>
            </w:r>
          </w:p>
        </w:tc>
        <w:tc>
          <w:tcPr>
            <w:tcW w:w="233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270</w:t>
            </w:r>
          </w:p>
          <w:p>
            <w:pPr>
              <w:spacing w:after="0"/>
              <w:ind w:left="14"/>
              <w:jc w:val="left"/>
            </w:pPr>
            <w:r>
              <w:rPr>
                <w:rFonts w:hint="default" w:ascii="Times New Roman" w:hAnsi="Times New Roman"/>
                <w:b w:val="false"/>
                <w:i w:val="false"/>
                <w:color w:val="000000"/>
                <w:sz w:val="24"/>
              </w:rPr>
              <w:t>305</w:t>
            </w:r>
          </w:p>
        </w:tc>
      </w:tr>
      <w:tr>
        <w:trPr>
          <w:trHeight w:val="30" w:hRule="atLeast"/>
        </w:trPr>
        <w:tc>
          <w:tcPr>
            <w:tcW w:w="25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625</w:t>
            </w:r>
          </w:p>
          <w:p>
            <w:pPr>
              <w:spacing w:after="0"/>
              <w:ind w:left="14"/>
              <w:jc w:val="left"/>
            </w:pPr>
            <w:r>
              <w:rPr>
                <w:rFonts w:hint="default" w:ascii="Times New Roman" w:hAnsi="Times New Roman"/>
                <w:b w:val="false"/>
                <w:i w:val="false"/>
                <w:color w:val="000000"/>
                <w:sz w:val="24"/>
              </w:rPr>
              <w:t>800</w:t>
            </w:r>
          </w:p>
        </w:tc>
        <w:tc>
          <w:tcPr>
            <w:tcW w:w="215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580</w:t>
            </w:r>
          </w:p>
          <w:p>
            <w:pPr>
              <w:spacing w:after="14"/>
              <w:ind w:left="14"/>
              <w:jc w:val="left"/>
            </w:pPr>
            <w:r>
              <w:rPr>
                <w:rFonts w:hint="default" w:ascii="Times New Roman" w:hAnsi="Times New Roman"/>
                <w:b w:val="false"/>
                <w:i w:val="false"/>
                <w:color w:val="000000"/>
                <w:sz w:val="24"/>
              </w:rPr>
              <w:t>675</w:t>
            </w:r>
          </w:p>
          <w:p>
            <w:pPr>
              <w:spacing w:after="14"/>
              <w:ind w:left="14"/>
              <w:jc w:val="left"/>
            </w:pPr>
            <w:r>
              <w:rPr>
                <w:rFonts w:hint="default" w:ascii="Times New Roman" w:hAnsi="Times New Roman"/>
                <w:b w:val="false"/>
                <w:i w:val="false"/>
                <w:color w:val="000000"/>
                <w:sz w:val="24"/>
              </w:rPr>
              <w:t>770</w:t>
            </w:r>
          </w:p>
          <w:p>
            <w:pPr>
              <w:spacing w:after="14"/>
              <w:ind w:left="14"/>
              <w:jc w:val="left"/>
            </w:pPr>
            <w:r>
              <w:rPr>
                <w:rFonts w:hint="default" w:ascii="Times New Roman" w:hAnsi="Times New Roman"/>
                <w:b w:val="false"/>
                <w:i w:val="false"/>
                <w:color w:val="000000"/>
                <w:sz w:val="24"/>
              </w:rPr>
              <w:t>940</w:t>
            </w:r>
          </w:p>
          <w:p>
            <w:pPr>
              <w:spacing w:after="14"/>
              <w:ind w:left="14"/>
              <w:jc w:val="left"/>
            </w:pPr>
            <w:r>
              <w:rPr>
                <w:rFonts w:hint="default" w:ascii="Times New Roman" w:hAnsi="Times New Roman"/>
                <w:b w:val="false"/>
                <w:i w:val="false"/>
                <w:color w:val="000000"/>
                <w:sz w:val="24"/>
              </w:rPr>
              <w:t>1080</w:t>
            </w:r>
          </w:p>
          <w:p>
            <w:pPr>
              <w:spacing w:after="14"/>
              <w:ind w:left="14"/>
              <w:jc w:val="left"/>
            </w:pPr>
            <w:r>
              <w:rPr>
                <w:rFonts w:hint="default" w:ascii="Times New Roman" w:hAnsi="Times New Roman"/>
                <w:b w:val="false"/>
                <w:i w:val="false"/>
                <w:color w:val="000000"/>
                <w:sz w:val="24"/>
              </w:rPr>
              <w:t>1170</w:t>
            </w:r>
          </w:p>
          <w:p>
            <w:pPr>
              <w:spacing w:after="0"/>
              <w:ind w:left="14"/>
              <w:jc w:val="left"/>
            </w:pPr>
            <w:r>
              <w:rPr>
                <w:rFonts w:hint="default" w:ascii="Times New Roman" w:hAnsi="Times New Roman"/>
                <w:b w:val="false"/>
                <w:i w:val="false"/>
                <w:color w:val="000000"/>
                <w:sz w:val="24"/>
              </w:rPr>
              <w:t>1310</w:t>
            </w:r>
          </w:p>
        </w:tc>
        <w:tc>
          <w:tcPr>
            <w:tcW w:w="23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34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380</w:t>
            </w:r>
          </w:p>
          <w:p>
            <w:pPr>
              <w:spacing w:after="14"/>
              <w:ind w:left="14"/>
              <w:jc w:val="left"/>
            </w:pPr>
            <w:r>
              <w:rPr>
                <w:rFonts w:hint="default" w:ascii="Times New Roman" w:hAnsi="Times New Roman"/>
                <w:b w:val="false"/>
                <w:i w:val="false"/>
                <w:color w:val="000000"/>
                <w:sz w:val="24"/>
              </w:rPr>
              <w:t>440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12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12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310</w:t>
            </w:r>
          </w:p>
          <w:p>
            <w:pPr>
              <w:spacing w:after="14"/>
              <w:ind w:left="14"/>
              <w:jc w:val="left"/>
            </w:pPr>
            <w:r>
              <w:rPr>
                <w:rFonts w:hint="default" w:ascii="Times New Roman" w:hAnsi="Times New Roman"/>
                <w:b w:val="false"/>
                <w:i w:val="false"/>
                <w:color w:val="000000"/>
                <w:sz w:val="24"/>
              </w:rPr>
              <w:t>355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33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345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67"/>
    <w:bookmarkStart w:name="637606323" w:id="4868"/>
    <w:p>
      <w:pPr>
        <w:spacing w:before="120" w:after="120" w:line="240"/>
        <w:ind w:left="0"/>
        <w:jc w:val="both"/>
      </w:pPr>
      <w:r>
        <w:rPr>
          <w:rFonts w:hint="default" w:ascii="Times New Roman" w:hAnsi="Times New Roman"/>
          <w:b/>
          <w:i w:val="false"/>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оболочке, прокладываемых в воде</w:t>
      </w:r>
    </w:p>
    <w:bookmarkEnd w:id="4868"/>
    <w:bookmarkStart w:name="637606324" w:id="486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17</w:t>
      </w:r>
    </w:p>
    <w:bookmarkEnd w:id="4869"/>
    <w:bookmarkStart w:name="637606325" w:id="4870"/>
    <w:tbl>
      <w:tblPr>
        <w:tblW w:w="18660" w:type="auto"/>
        <w:tblCellSpacing w:w="0" w:type="auto"/>
        <w:tblBorders>
          <w:top w:val="none"/>
          <w:left w:val="none"/>
          <w:bottom w:val="none"/>
          <w:right w:val="none"/>
          <w:insideH w:val="none"/>
          <w:insideV w:val="none"/>
        </w:tblBorders>
        <w:tblLayout/>
      </w:tblPr>
      <w:tblGrid>
        <w:gridCol w:w="963"/>
        <w:gridCol w:w="924"/>
        <w:gridCol w:w="925"/>
        <w:gridCol w:w="925"/>
        <w:gridCol w:w="11506"/>
        <w:gridCol w:w="757"/>
      </w:tblGrid>
      <w:tr>
        <w:trPr>
          <w:trHeight w:val="30" w:hRule="atLeast"/>
        </w:trPr>
        <w:tc>
          <w:tcPr>
            <w:tcW w:w="96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75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9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9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9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9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240</w:t>
            </w:r>
          </w:p>
        </w:tc>
        <w:tc>
          <w:tcPr>
            <w:tcW w:w="92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435</w:t>
            </w:r>
          </w:p>
          <w:p>
            <w:pPr>
              <w:spacing w:after="14"/>
              <w:ind w:left="14"/>
              <w:jc w:val="left"/>
            </w:pPr>
            <w:r>
              <w:rPr>
                <w:rFonts w:hint="default" w:ascii="Times New Roman" w:hAnsi="Times New Roman"/>
                <w:b w:val="false"/>
                <w:i w:val="false"/>
                <w:color w:val="000000"/>
                <w:sz w:val="24"/>
              </w:rPr>
              <w:t>475</w:t>
            </w:r>
          </w:p>
          <w:p>
            <w:pPr>
              <w:spacing w:after="0"/>
              <w:ind w:left="14"/>
              <w:jc w:val="left"/>
            </w:pPr>
            <w:r>
              <w:rPr>
                <w:rFonts w:hint="default" w:ascii="Times New Roman" w:hAnsi="Times New Roman"/>
                <w:b w:val="false"/>
                <w:i w:val="false"/>
                <w:color w:val="000000"/>
                <w:sz w:val="24"/>
              </w:rPr>
              <w:t>550</w:t>
            </w:r>
          </w:p>
        </w:tc>
        <w:tc>
          <w:tcPr>
            <w:tcW w:w="92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420</w:t>
            </w:r>
          </w:p>
          <w:p>
            <w:pPr>
              <w:spacing w:after="0"/>
              <w:ind w:left="14"/>
              <w:jc w:val="left"/>
            </w:pPr>
            <w:r>
              <w:rPr>
                <w:rFonts w:hint="default" w:ascii="Times New Roman" w:hAnsi="Times New Roman"/>
                <w:b w:val="false"/>
                <w:i w:val="false"/>
                <w:color w:val="000000"/>
                <w:sz w:val="24"/>
              </w:rPr>
              <w:t>480</w:t>
            </w:r>
          </w:p>
        </w:tc>
        <w:tc>
          <w:tcPr>
            <w:tcW w:w="92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305</w:t>
            </w:r>
          </w:p>
          <w:p>
            <w:pPr>
              <w:spacing w:after="14"/>
              <w:ind w:left="14"/>
              <w:jc w:val="left"/>
            </w:pPr>
            <w:r>
              <w:rPr>
                <w:rFonts w:hint="default" w:ascii="Times New Roman" w:hAnsi="Times New Roman"/>
                <w:b w:val="false"/>
                <w:i w:val="false"/>
                <w:color w:val="000000"/>
                <w:sz w:val="24"/>
              </w:rPr>
              <w:t>345</w:t>
            </w:r>
          </w:p>
          <w:p>
            <w:pPr>
              <w:spacing w:after="14"/>
              <w:ind w:left="14"/>
              <w:jc w:val="left"/>
            </w:pPr>
            <w:r>
              <w:rPr>
                <w:rFonts w:hint="default" w:ascii="Times New Roman" w:hAnsi="Times New Roman"/>
                <w:b w:val="false"/>
                <w:i w:val="false"/>
                <w:color w:val="000000"/>
                <w:sz w:val="24"/>
              </w:rPr>
              <w:t>390</w:t>
            </w:r>
          </w:p>
          <w:p>
            <w:pPr>
              <w:spacing w:after="0"/>
              <w:ind w:left="14"/>
              <w:jc w:val="left"/>
            </w:pPr>
            <w:r>
              <w:rPr>
                <w:rFonts w:hint="default" w:ascii="Times New Roman" w:hAnsi="Times New Roman"/>
                <w:b w:val="false"/>
                <w:i w:val="false"/>
                <w:color w:val="000000"/>
                <w:sz w:val="24"/>
              </w:rPr>
              <w:t>450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2770</w:t>
            </w:r>
          </w:p>
          <w:p>
            <w:pPr>
              <w:spacing w:after="14"/>
              <w:ind w:left="14"/>
              <w:jc w:val="left"/>
            </w:pPr>
            <w:r>
              <w:rPr>
                <w:rFonts w:hint="default" w:ascii="Times New Roman" w:hAnsi="Times New Roman"/>
                <w:b w:val="false"/>
                <w:i w:val="false"/>
                <w:color w:val="000000"/>
                <w:sz w:val="24"/>
              </w:rPr>
              <w:t>315</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70"/>
    <w:bookmarkStart w:name="637606326" w:id="4871"/>
    <w:p>
      <w:pPr>
        <w:spacing w:before="120" w:after="120" w:line="240"/>
        <w:ind w:left="0"/>
        <w:jc w:val="both"/>
      </w:pPr>
      <w:r>
        <w:rPr>
          <w:rFonts w:hint="default" w:ascii="Times New Roman" w:hAnsi="Times New Roman"/>
          <w:b/>
          <w:i w:val="false"/>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оболочке,прокладываемых в воздухе</w:t>
      </w:r>
    </w:p>
    <w:bookmarkEnd w:id="4871"/>
    <w:bookmarkStart w:name="637606327" w:id="487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18</w:t>
      </w:r>
    </w:p>
    <w:bookmarkEnd w:id="4872"/>
    <w:bookmarkStart w:name="637606328" w:id="4873"/>
    <w:tbl>
      <w:tblPr>
        <w:tblW w:w="18660" w:type="auto"/>
        <w:tblCellSpacing w:w="0" w:type="auto"/>
        <w:tblBorders>
          <w:top w:val="none"/>
          <w:left w:val="none"/>
          <w:bottom w:val="none"/>
          <w:right w:val="none"/>
          <w:insideH w:val="none"/>
          <w:insideV w:val="none"/>
        </w:tblBorders>
        <w:tblLayout/>
      </w:tblPr>
      <w:tblGrid>
        <w:gridCol w:w="2327"/>
        <w:gridCol w:w="2033"/>
        <w:gridCol w:w="2263"/>
        <w:gridCol w:w="2279"/>
        <w:gridCol w:w="2279"/>
        <w:gridCol w:w="2280"/>
        <w:gridCol w:w="2539"/>
      </w:tblGrid>
      <w:tr>
        <w:trPr>
          <w:trHeight w:val="30" w:hRule="atLeast"/>
        </w:trPr>
        <w:tc>
          <w:tcPr>
            <w:tcW w:w="232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203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одножильных до 1 кВ</w:t>
            </w:r>
          </w:p>
        </w:tc>
        <w:tc>
          <w:tcPr>
            <w:tcW w:w="226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двухжильных до 1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трехжильных напряжением, кВ</w:t>
            </w:r>
          </w:p>
        </w:tc>
        <w:tc>
          <w:tcPr>
            <w:tcW w:w="253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четырехжильных до 1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2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22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vMerge/>
            <w:tcBorders>
              <w:top w:val="nil"/>
              <w:left w:val="single" w:color="cfcfcf" w:sz="8"/>
              <w:bottom w:val="single" w:color="cfcfcf" w:sz="8"/>
              <w:right w:val="single" w:color="cfcfcf" w:sz="8"/>
            </w:tcBorders>
          </w:tcPr>
          <w:p/>
        </w:tc>
      </w:tr>
      <w:tr>
        <w:trPr>
          <w:trHeight w:val="30" w:hRule="atLeast"/>
        </w:trPr>
        <w:tc>
          <w:tcPr>
            <w:tcW w:w="23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2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2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2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5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r>
      <w:tr>
        <w:trPr>
          <w:trHeight w:val="30" w:hRule="atLeast"/>
        </w:trPr>
        <w:tc>
          <w:tcPr>
            <w:tcW w:w="232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625</w:t>
            </w:r>
          </w:p>
          <w:p>
            <w:pPr>
              <w:spacing w:after="0"/>
              <w:ind w:left="14"/>
              <w:jc w:val="left"/>
            </w:pPr>
            <w:r>
              <w:rPr>
                <w:rFonts w:hint="default" w:ascii="Times New Roman" w:hAnsi="Times New Roman"/>
                <w:b w:val="false"/>
                <w:i w:val="false"/>
                <w:color w:val="000000"/>
                <w:sz w:val="24"/>
              </w:rPr>
              <w:t>800</w:t>
            </w:r>
          </w:p>
        </w:tc>
        <w:tc>
          <w:tcPr>
            <w:tcW w:w="203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320</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405</w:t>
            </w:r>
          </w:p>
          <w:p>
            <w:pPr>
              <w:spacing w:after="14"/>
              <w:ind w:left="14"/>
              <w:jc w:val="left"/>
            </w:pPr>
            <w:r>
              <w:rPr>
                <w:rFonts w:hint="default" w:ascii="Times New Roman" w:hAnsi="Times New Roman"/>
                <w:b w:val="false"/>
                <w:i w:val="false"/>
                <w:color w:val="000000"/>
                <w:sz w:val="24"/>
              </w:rPr>
              <w:t>470</w:t>
            </w:r>
          </w:p>
          <w:p>
            <w:pPr>
              <w:spacing w:after="14"/>
              <w:ind w:left="14"/>
              <w:jc w:val="left"/>
            </w:pPr>
            <w:r>
              <w:rPr>
                <w:rFonts w:hint="default" w:ascii="Times New Roman" w:hAnsi="Times New Roman"/>
                <w:b w:val="false"/>
                <w:i w:val="false"/>
                <w:color w:val="000000"/>
                <w:sz w:val="24"/>
              </w:rPr>
              <w:t>555</w:t>
            </w:r>
          </w:p>
          <w:p>
            <w:pPr>
              <w:spacing w:after="14"/>
              <w:ind w:left="14"/>
              <w:jc w:val="left"/>
            </w:pPr>
            <w:r>
              <w:rPr>
                <w:rFonts w:hint="default" w:ascii="Times New Roman" w:hAnsi="Times New Roman"/>
                <w:b w:val="false"/>
                <w:i w:val="false"/>
                <w:color w:val="000000"/>
                <w:sz w:val="24"/>
              </w:rPr>
              <w:t>675</w:t>
            </w:r>
          </w:p>
          <w:p>
            <w:pPr>
              <w:spacing w:after="14"/>
              <w:ind w:left="14"/>
              <w:jc w:val="left"/>
            </w:pPr>
            <w:r>
              <w:rPr>
                <w:rFonts w:hint="default" w:ascii="Times New Roman" w:hAnsi="Times New Roman"/>
                <w:b w:val="false"/>
                <w:i w:val="false"/>
                <w:color w:val="000000"/>
                <w:sz w:val="24"/>
              </w:rPr>
              <w:t>785</w:t>
            </w:r>
          </w:p>
          <w:p>
            <w:pPr>
              <w:spacing w:after="14"/>
              <w:ind w:left="14"/>
              <w:jc w:val="left"/>
            </w:pPr>
            <w:r>
              <w:rPr>
                <w:rFonts w:hint="default" w:ascii="Times New Roman" w:hAnsi="Times New Roman"/>
                <w:b w:val="false"/>
                <w:i w:val="false"/>
                <w:color w:val="000000"/>
                <w:sz w:val="24"/>
              </w:rPr>
              <w:t>910</w:t>
            </w:r>
          </w:p>
          <w:p>
            <w:pPr>
              <w:spacing w:after="0"/>
              <w:ind w:left="14"/>
              <w:jc w:val="left"/>
            </w:pPr>
            <w:r>
              <w:rPr>
                <w:rFonts w:hint="default" w:ascii="Times New Roman" w:hAnsi="Times New Roman"/>
                <w:b w:val="false"/>
                <w:i w:val="false"/>
                <w:color w:val="000000"/>
                <w:sz w:val="24"/>
              </w:rPr>
              <w:t>1080</w:t>
            </w:r>
          </w:p>
        </w:tc>
        <w:tc>
          <w:tcPr>
            <w:tcW w:w="22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27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27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42</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190</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250</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28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46</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253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230</w:t>
            </w:r>
          </w:p>
          <w:p>
            <w:pPr>
              <w:spacing w:after="14"/>
              <w:ind w:left="14"/>
              <w:jc w:val="left"/>
            </w:pPr>
            <w:r>
              <w:rPr>
                <w:rFonts w:hint="default" w:ascii="Times New Roman" w:hAnsi="Times New Roman"/>
                <w:b w:val="false"/>
                <w:i w:val="false"/>
                <w:color w:val="000000"/>
                <w:sz w:val="24"/>
              </w:rPr>
              <w:t>260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73"/>
    <w:bookmarkStart w:name="637606329" w:id="4874"/>
    <w:p>
      <w:pPr>
        <w:spacing w:before="120" w:after="120" w:line="240"/>
        <w:ind w:left="0"/>
        <w:jc w:val="both"/>
      </w:pPr>
      <w:r>
        <w:rPr>
          <w:rFonts w:hint="default" w:ascii="Times New Roman" w:hAnsi="Times New Roman"/>
          <w:b/>
          <w:i w:val="false"/>
          <w:color w:val="000000"/>
          <w:sz w:val="24"/>
        </w:rPr>
        <w:t>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bookmarkEnd w:id="4874"/>
    <w:bookmarkStart w:name="637606330" w:id="487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19</w:t>
      </w:r>
    </w:p>
    <w:bookmarkEnd w:id="4875"/>
    <w:bookmarkStart w:name="637606331" w:id="4876"/>
    <w:tbl>
      <w:tblPr>
        <w:tblW w:w="18660" w:type="auto"/>
        <w:tblCellSpacing w:w="0" w:type="auto"/>
        <w:tblBorders>
          <w:top w:val="none"/>
          <w:left w:val="none"/>
          <w:bottom w:val="none"/>
          <w:right w:val="none"/>
          <w:insideH w:val="none"/>
          <w:insideV w:val="none"/>
        </w:tblBorders>
        <w:tblLayout/>
      </w:tblPr>
      <w:tblGrid>
        <w:gridCol w:w="628"/>
        <w:gridCol w:w="684"/>
        <w:gridCol w:w="703"/>
        <w:gridCol w:w="6339"/>
        <w:gridCol w:w="300"/>
        <w:gridCol w:w="6346"/>
        <w:gridCol w:w="276"/>
        <w:gridCol w:w="724"/>
      </w:tblGrid>
      <w:tr>
        <w:trPr>
          <w:trHeight w:val="30" w:hRule="atLeast"/>
        </w:trPr>
        <w:tc>
          <w:tcPr>
            <w:tcW w:w="62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 проложенных</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 проложенных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0" w:type="auto"/>
            <w:gridSpan w:val="2"/>
            <w:vMerge/>
            <w:tcBorders>
              <w:top w:val="nil"/>
              <w:left w:val="single" w:color="cfcfcf" w:sz="8"/>
              <w:bottom w:val="single" w:color="cfcfcf" w:sz="8"/>
              <w:right w:val="single" w:color="cfcfcf" w:sz="8"/>
            </w:tcBorders>
          </w:tcPr>
          <w:p/>
        </w:tc>
        <w:tc>
          <w:tcPr>
            <w:tcW w:w="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r>
      <w:tr>
        <w:trPr>
          <w:trHeight w:val="30" w:hRule="atLeast"/>
        </w:trPr>
        <w:tc>
          <w:tcPr>
            <w:tcW w:w="62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0"/>
              <w:ind w:left="14"/>
              <w:jc w:val="left"/>
            </w:pPr>
            <w:r>
              <w:rPr>
                <w:rFonts w:hint="default" w:ascii="Times New Roman" w:hAnsi="Times New Roman"/>
                <w:b w:val="false"/>
                <w:i w:val="false"/>
                <w:color w:val="000000"/>
                <w:sz w:val="24"/>
              </w:rPr>
              <w:t>50</w:t>
            </w:r>
          </w:p>
        </w:tc>
        <w:tc>
          <w:tcPr>
            <w:tcW w:w="68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145</w:t>
            </w:r>
          </w:p>
          <w:p>
            <w:pPr>
              <w:spacing w:after="0"/>
              <w:ind w:left="14"/>
              <w:jc w:val="left"/>
            </w:pPr>
            <w:r>
              <w:rPr>
                <w:rFonts w:hint="default" w:ascii="Times New Roman" w:hAnsi="Times New Roman"/>
                <w:b w:val="false"/>
                <w:i w:val="false"/>
                <w:color w:val="000000"/>
                <w:sz w:val="24"/>
              </w:rPr>
              <w:t>180</w:t>
            </w:r>
          </w:p>
        </w:tc>
        <w:tc>
          <w:tcPr>
            <w:tcW w:w="70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110</w:t>
            </w:r>
          </w:p>
          <w:p>
            <w:pPr>
              <w:spacing w:after="0"/>
              <w:ind w:left="14"/>
              <w:jc w:val="left"/>
            </w:pPr>
            <w:r>
              <w:rPr>
                <w:rFonts w:hint="default" w:ascii="Times New Roman" w:hAnsi="Times New Roman"/>
                <w:b w:val="false"/>
                <w:i w:val="false"/>
                <w:color w:val="000000"/>
                <w:sz w:val="24"/>
              </w:rPr>
              <w:t>140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0"/>
              <w:ind w:left="14"/>
              <w:jc w:val="left"/>
            </w:pPr>
            <w:r>
              <w:rPr>
                <w:rFonts w:hint="default" w:ascii="Times New Roman" w:hAnsi="Times New Roman"/>
                <w:b w:val="false"/>
                <w:i w:val="false"/>
                <w:color w:val="000000"/>
                <w:sz w:val="24"/>
              </w:rPr>
              <w:t>150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265</w:t>
            </w:r>
          </w:p>
          <w:p>
            <w:pPr>
              <w:spacing w:after="14"/>
              <w:ind w:left="14"/>
              <w:jc w:val="left"/>
            </w:pPr>
            <w:r>
              <w:rPr>
                <w:rFonts w:hint="default" w:ascii="Times New Roman" w:hAnsi="Times New Roman"/>
                <w:b w:val="false"/>
                <w:i w:val="false"/>
                <w:color w:val="000000"/>
                <w:sz w:val="24"/>
              </w:rPr>
              <w:t>310</w:t>
            </w:r>
          </w:p>
          <w:p>
            <w:pPr>
              <w:spacing w:after="0"/>
              <w:ind w:left="14"/>
              <w:jc w:val="left"/>
            </w:pPr>
            <w:r>
              <w:rPr>
                <w:rFonts w:hint="default" w:ascii="Times New Roman" w:hAnsi="Times New Roman"/>
                <w:b w:val="false"/>
                <w:i w:val="false"/>
                <w:color w:val="000000"/>
                <w:sz w:val="24"/>
              </w:rPr>
              <w:t>355</w:t>
            </w:r>
          </w:p>
        </w:tc>
        <w:tc>
          <w:tcPr>
            <w:tcW w:w="72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245</w:t>
            </w:r>
          </w:p>
          <w:p>
            <w:pPr>
              <w:spacing w:after="0"/>
              <w:ind w:left="14"/>
              <w:jc w:val="left"/>
            </w:pPr>
            <w:r>
              <w:rPr>
                <w:rFonts w:hint="default" w:ascii="Times New Roman" w:hAnsi="Times New Roman"/>
                <w:b w:val="false"/>
                <w:i w:val="false"/>
                <w:color w:val="000000"/>
                <w:sz w:val="24"/>
              </w:rPr>
              <w:t>290</w:t>
            </w:r>
          </w:p>
        </w:tc>
      </w:tr>
    </w:tbl>
    <w:bookmarkEnd w:id="4876"/>
    <w:bookmarkStart w:name="637606332" w:id="4877"/>
    <w:p>
      <w:pPr>
        <w:spacing w:before="120" w:after="120" w:line="240"/>
        <w:ind w:left="0"/>
        <w:jc w:val="both"/>
      </w:pPr>
      <w:r>
        <w:rPr>
          <w:rFonts w:hint="default" w:ascii="Times New Roman" w:hAnsi="Times New Roman"/>
          <w:b/>
          <w:i w:val="false"/>
          <w:color w:val="000000"/>
          <w:sz w:val="24"/>
        </w:rPr>
        <w:t>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bookmarkEnd w:id="4877"/>
    <w:bookmarkStart w:name="637606333" w:id="487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20</w:t>
      </w:r>
    </w:p>
    <w:bookmarkEnd w:id="4878"/>
    <w:bookmarkStart w:name="637606334" w:id="4879"/>
    <w:tbl>
      <w:tblPr>
        <w:tblW w:w="18660" w:type="auto"/>
        <w:tblCellSpacing w:w="0" w:type="auto"/>
        <w:tblBorders>
          <w:top w:val="none"/>
          <w:left w:val="none"/>
          <w:bottom w:val="none"/>
          <w:right w:val="none"/>
          <w:insideH w:val="none"/>
          <w:insideV w:val="none"/>
        </w:tblBorders>
        <w:tblLayout/>
      </w:tblPr>
      <w:tblGrid>
        <w:gridCol w:w="627"/>
        <w:gridCol w:w="703"/>
        <w:gridCol w:w="685"/>
        <w:gridCol w:w="6339"/>
        <w:gridCol w:w="300"/>
        <w:gridCol w:w="6346"/>
        <w:gridCol w:w="276"/>
        <w:gridCol w:w="724"/>
      </w:tblGrid>
      <w:tr>
        <w:trPr>
          <w:trHeight w:val="30" w:hRule="atLeast"/>
        </w:trPr>
        <w:tc>
          <w:tcPr>
            <w:tcW w:w="62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 проложенных</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кабелей проложенных</w:t>
            </w:r>
          </w:p>
        </w:tc>
      </w:tr>
      <w:tr>
        <w:trPr>
          <w:trHeight w:val="30" w:hRule="atLeast"/>
        </w:trPr>
        <w:tc>
          <w:tcPr>
            <w:tcW w:w="0" w:type="auto"/>
            <w:vMerge/>
            <w:tcBorders>
              <w:top w:val="nil"/>
              <w:left w:val="single" w:color="cfcfcf" w:sz="8"/>
              <w:bottom w:val="single" w:color="cfcfcf" w:sz="8"/>
              <w:right w:val="single" w:color="cfcfcf" w:sz="8"/>
            </w:tcBorders>
          </w:tcPr>
          <w:p/>
        </w:tc>
        <w:tc>
          <w:tcPr>
            <w:tcW w:w="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0" w:type="auto"/>
            <w:gridSpan w:val="2"/>
            <w:vMerge/>
            <w:tcBorders>
              <w:top w:val="nil"/>
              <w:left w:val="single" w:color="cfcfcf" w:sz="8"/>
              <w:bottom w:val="single" w:color="cfcfcf" w:sz="8"/>
              <w:right w:val="single" w:color="cfcfcf" w:sz="8"/>
            </w:tcBorders>
          </w:tcPr>
          <w:p/>
        </w:tc>
        <w:tc>
          <w:tcPr>
            <w:tcW w:w="2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r>
      <w:tr>
        <w:trPr>
          <w:trHeight w:val="30" w:hRule="atLeast"/>
        </w:trPr>
        <w:tc>
          <w:tcPr>
            <w:tcW w:w="62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0"/>
              <w:ind w:left="14"/>
              <w:jc w:val="left"/>
            </w:pPr>
            <w:r>
              <w:rPr>
                <w:rFonts w:hint="default" w:ascii="Times New Roman" w:hAnsi="Times New Roman"/>
                <w:b w:val="false"/>
                <w:i w:val="false"/>
                <w:color w:val="000000"/>
                <w:sz w:val="24"/>
              </w:rPr>
              <w:t>50</w:t>
            </w:r>
          </w:p>
        </w:tc>
        <w:tc>
          <w:tcPr>
            <w:tcW w:w="70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770</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110</w:t>
            </w:r>
          </w:p>
          <w:p>
            <w:pPr>
              <w:spacing w:after="0"/>
              <w:ind w:left="14"/>
              <w:jc w:val="left"/>
            </w:pPr>
            <w:r>
              <w:rPr>
                <w:rFonts w:hint="default" w:ascii="Times New Roman" w:hAnsi="Times New Roman"/>
                <w:b w:val="false"/>
                <w:i w:val="false"/>
                <w:color w:val="000000"/>
                <w:sz w:val="24"/>
              </w:rPr>
              <w:t>140</w:t>
            </w:r>
          </w:p>
        </w:tc>
        <w:tc>
          <w:tcPr>
            <w:tcW w:w="68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85</w:t>
            </w:r>
          </w:p>
          <w:p>
            <w:pPr>
              <w:spacing w:after="0"/>
              <w:ind w:left="14"/>
              <w:jc w:val="left"/>
            </w:pPr>
            <w:r>
              <w:rPr>
                <w:rFonts w:hint="default" w:ascii="Times New Roman" w:hAnsi="Times New Roman"/>
                <w:b w:val="false"/>
                <w:i w:val="false"/>
                <w:color w:val="000000"/>
                <w:sz w:val="24"/>
              </w:rPr>
              <w:t>110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0"/>
              <w:ind w:left="14"/>
              <w:jc w:val="left"/>
            </w:pPr>
            <w:r>
              <w:rPr>
                <w:rFonts w:hint="default" w:ascii="Times New Roman" w:hAnsi="Times New Roman"/>
                <w:b w:val="false"/>
                <w:i w:val="false"/>
                <w:color w:val="000000"/>
                <w:sz w:val="24"/>
              </w:rPr>
              <w:t>150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205</w:t>
            </w:r>
          </w:p>
          <w:p>
            <w:pPr>
              <w:spacing w:after="14"/>
              <w:ind w:left="14"/>
              <w:jc w:val="left"/>
            </w:pPr>
            <w:r>
              <w:rPr>
                <w:rFonts w:hint="default" w:ascii="Times New Roman" w:hAnsi="Times New Roman"/>
                <w:b w:val="false"/>
                <w:i w:val="false"/>
                <w:color w:val="000000"/>
                <w:sz w:val="24"/>
              </w:rPr>
              <w:t>240</w:t>
            </w:r>
          </w:p>
          <w:p>
            <w:pPr>
              <w:spacing w:after="0"/>
              <w:ind w:left="14"/>
              <w:jc w:val="left"/>
            </w:pPr>
            <w:r>
              <w:rPr>
                <w:rFonts w:hint="default" w:ascii="Times New Roman" w:hAnsi="Times New Roman"/>
                <w:b w:val="false"/>
                <w:i w:val="false"/>
                <w:color w:val="000000"/>
                <w:sz w:val="24"/>
              </w:rPr>
              <w:t>275</w:t>
            </w:r>
          </w:p>
        </w:tc>
        <w:tc>
          <w:tcPr>
            <w:tcW w:w="72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190</w:t>
            </w:r>
          </w:p>
          <w:p>
            <w:pPr>
              <w:spacing w:after="0"/>
              <w:ind w:left="14"/>
              <w:jc w:val="left"/>
            </w:pPr>
            <w:r>
              <w:rPr>
                <w:rFonts w:hint="default" w:ascii="Times New Roman" w:hAnsi="Times New Roman"/>
                <w:b w:val="false"/>
                <w:i w:val="false"/>
                <w:color w:val="000000"/>
                <w:sz w:val="24"/>
              </w:rPr>
              <w:t>225</w:t>
            </w:r>
          </w:p>
        </w:tc>
      </w:tr>
    </w:tbl>
    <w:bookmarkEnd w:id="4879"/>
    <w:bookmarkStart w:name="637606335" w:id="4880"/>
    <w:p>
      <w:pPr>
        <w:spacing w:before="120" w:after="120" w:line="240"/>
        <w:ind w:left="0"/>
        <w:jc w:val="both"/>
      </w:pPr>
      <w:r>
        <w:rPr>
          <w:rFonts w:hint="default" w:ascii="Times New Roman" w:hAnsi="Times New Roman"/>
          <w:b/>
          <w:i w:val="false"/>
          <w:color w:val="000000"/>
          <w:sz w:val="24"/>
        </w:rPr>
        <w:t>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bookmarkEnd w:id="4880"/>
    <w:bookmarkStart w:name="637606336" w:id="488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21</w:t>
      </w:r>
    </w:p>
    <w:bookmarkEnd w:id="4881"/>
    <w:bookmarkStart w:name="637606337" w:id="4882"/>
    <w:tbl>
      <w:tblPr>
        <w:tblW w:w="18660" w:type="auto"/>
        <w:tblCellSpacing w:w="0" w:type="auto"/>
        <w:tblBorders>
          <w:top w:val="none"/>
          <w:left w:val="none"/>
          <w:bottom w:val="none"/>
          <w:right w:val="none"/>
          <w:insideH w:val="none"/>
          <w:insideV w:val="none"/>
        </w:tblBorders>
        <w:tblLayout/>
      </w:tblPr>
      <w:tblGrid>
        <w:gridCol w:w="848"/>
        <w:gridCol w:w="737"/>
        <w:gridCol w:w="818"/>
        <w:gridCol w:w="818"/>
        <w:gridCol w:w="10824"/>
        <w:gridCol w:w="335"/>
        <w:gridCol w:w="818"/>
        <w:gridCol w:w="802"/>
      </w:tblGrid>
      <w:tr>
        <w:trPr>
          <w:trHeight w:val="30" w:hRule="atLeast"/>
        </w:trPr>
        <w:tc>
          <w:tcPr>
            <w:tcW w:w="84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трехжильных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прокладке</w:t>
            </w:r>
          </w:p>
        </w:tc>
      </w:tr>
      <w:tr>
        <w:trPr>
          <w:trHeight w:val="30" w:hRule="atLeast"/>
        </w:trPr>
        <w:tc>
          <w:tcPr>
            <w:tcW w:w="0" w:type="auto"/>
            <w:vMerge/>
            <w:tcBorders>
              <w:top w:val="nil"/>
              <w:left w:val="single" w:color="cfcfcf" w:sz="8"/>
              <w:bottom w:val="single" w:color="cfcfcf" w:sz="8"/>
              <w:right w:val="single" w:color="cfcfcf" w:sz="8"/>
            </w:tcBorders>
          </w:tcP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воде</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воде</w:t>
            </w:r>
          </w:p>
        </w:tc>
        <w:tc>
          <w:tcPr>
            <w:tcW w:w="8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r>
      <w:tr>
        <w:trPr>
          <w:trHeight w:val="30" w:hRule="atLeast"/>
        </w:trPr>
        <w:tc>
          <w:tcPr>
            <w:tcW w:w="84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185</w:t>
            </w:r>
          </w:p>
        </w:tc>
        <w:tc>
          <w:tcPr>
            <w:tcW w:w="73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315</w:t>
            </w:r>
          </w:p>
          <w:p>
            <w:pPr>
              <w:spacing w:after="0"/>
              <w:ind w:left="14"/>
              <w:jc w:val="left"/>
            </w:pPr>
            <w:r>
              <w:rPr>
                <w:rFonts w:hint="default" w:ascii="Times New Roman" w:hAnsi="Times New Roman"/>
                <w:b w:val="false"/>
                <w:i w:val="false"/>
                <w:color w:val="000000"/>
                <w:sz w:val="24"/>
              </w:rPr>
              <w:t>355</w:t>
            </w:r>
          </w:p>
        </w:tc>
        <w:tc>
          <w:tcPr>
            <w:tcW w:w="8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315</w:t>
            </w:r>
          </w:p>
          <w:p>
            <w:pPr>
              <w:spacing w:after="14"/>
              <w:ind w:left="14"/>
              <w:jc w:val="left"/>
            </w:pPr>
            <w:r>
              <w:rPr>
                <w:rFonts w:hint="default" w:ascii="Times New Roman" w:hAnsi="Times New Roman"/>
                <w:b w:val="false"/>
                <w:i w:val="false"/>
                <w:color w:val="000000"/>
                <w:sz w:val="24"/>
              </w:rPr>
              <w:t>350</w:t>
            </w:r>
          </w:p>
          <w:p>
            <w:pPr>
              <w:spacing w:after="0"/>
              <w:ind w:left="14"/>
              <w:jc w:val="left"/>
            </w:pPr>
            <w:r>
              <w:rPr>
                <w:rFonts w:hint="default" w:ascii="Times New Roman" w:hAnsi="Times New Roman"/>
                <w:b w:val="false"/>
                <w:i w:val="false"/>
                <w:color w:val="000000"/>
                <w:sz w:val="24"/>
              </w:rPr>
              <w:t>390</w:t>
            </w:r>
          </w:p>
        </w:tc>
        <w:tc>
          <w:tcPr>
            <w:tcW w:w="8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205</w:t>
            </w:r>
          </w:p>
          <w:p>
            <w:pPr>
              <w:spacing w:after="14"/>
              <w:ind w:left="14"/>
              <w:jc w:val="left"/>
            </w:pPr>
            <w:r>
              <w:rPr>
                <w:rFonts w:hint="default" w:ascii="Times New Roman" w:hAnsi="Times New Roman"/>
                <w:b w:val="false"/>
                <w:i w:val="false"/>
                <w:color w:val="000000"/>
                <w:sz w:val="24"/>
              </w:rPr>
              <w:t>230</w:t>
            </w:r>
          </w:p>
          <w:p>
            <w:pPr>
              <w:spacing w:after="0"/>
              <w:ind w:left="14"/>
              <w:jc w:val="left"/>
            </w:pPr>
            <w:r>
              <w:rPr>
                <w:rFonts w:hint="default" w:ascii="Times New Roman" w:hAnsi="Times New Roman"/>
                <w:b w:val="false"/>
                <w:i w:val="false"/>
                <w:color w:val="000000"/>
                <w:sz w:val="24"/>
              </w:rPr>
              <w:t>265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270</w:t>
            </w:r>
          </w:p>
          <w:p>
            <w:pPr>
              <w:spacing w:after="14"/>
              <w:ind w:left="14"/>
              <w:jc w:val="left"/>
            </w:pPr>
            <w:r>
              <w:rPr>
                <w:rFonts w:hint="default" w:ascii="Times New Roman" w:hAnsi="Times New Roman"/>
                <w:b w:val="false"/>
                <w:i w:val="false"/>
                <w:color w:val="000000"/>
                <w:sz w:val="24"/>
              </w:rPr>
              <w:t>310</w:t>
            </w:r>
          </w:p>
          <w:p>
            <w:pPr>
              <w:spacing w:after="0"/>
              <w:ind w:left="14"/>
              <w:jc w:val="left"/>
            </w:pPr>
            <w:r>
              <w:rPr>
                <w:rFonts w:hint="default" w:ascii="Times New Roman" w:hAnsi="Times New Roman"/>
                <w:b w:val="false"/>
                <w:i w:val="false"/>
                <w:color w:val="000000"/>
                <w:sz w:val="24"/>
              </w:rPr>
              <w:t>–</w:t>
            </w:r>
          </w:p>
        </w:tc>
        <w:tc>
          <w:tcPr>
            <w:tcW w:w="8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290</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80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205</w:t>
            </w:r>
          </w:p>
          <w:p>
            <w:pPr>
              <w:spacing w:after="14"/>
              <w:ind w:left="14"/>
              <w:jc w:val="left"/>
            </w:pPr>
            <w:r>
              <w:rPr>
                <w:rFonts w:hint="default" w:ascii="Times New Roman" w:hAnsi="Times New Roman"/>
                <w:b w:val="false"/>
                <w:i w:val="false"/>
                <w:color w:val="000000"/>
                <w:sz w:val="24"/>
              </w:rPr>
              <w:t>230</w:t>
            </w:r>
          </w:p>
          <w:p>
            <w:pPr>
              <w:spacing w:after="0"/>
              <w:ind w:left="14"/>
              <w:jc w:val="left"/>
            </w:pPr>
            <w:r>
              <w:rPr>
                <w:rFonts w:hint="default" w:ascii="Times New Roman" w:hAnsi="Times New Roman"/>
                <w:b w:val="false"/>
                <w:i w:val="false"/>
                <w:color w:val="000000"/>
                <w:sz w:val="24"/>
              </w:rPr>
              <w:t>–</w:t>
            </w:r>
          </w:p>
        </w:tc>
      </w:tr>
    </w:tbl>
    <w:bookmarkEnd w:id="4882"/>
    <w:bookmarkStart w:name="637606338" w:id="4883"/>
    <w:p>
      <w:pPr>
        <w:spacing w:before="120" w:after="120" w:line="240"/>
        <w:ind w:left="0"/>
        <w:jc w:val="both"/>
      </w:pPr>
      <w:r>
        <w:rPr>
          <w:rFonts w:hint="default" w:ascii="Times New Roman" w:hAnsi="Times New Roman"/>
          <w:b/>
          <w:i w:val="false"/>
          <w:color w:val="000000"/>
          <w:sz w:val="24"/>
        </w:rPr>
        <w:t>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bookmarkEnd w:id="4883"/>
    <w:bookmarkStart w:name="637606339" w:id="488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22</w:t>
      </w:r>
    </w:p>
    <w:bookmarkEnd w:id="4884"/>
    <w:bookmarkStart w:name="637606340" w:id="4885"/>
    <w:tbl>
      <w:tblPr>
        <w:tblW w:w="18660" w:type="auto"/>
        <w:tblCellSpacing w:w="0" w:type="auto"/>
        <w:tblBorders>
          <w:top w:val="none"/>
          <w:left w:val="none"/>
          <w:bottom w:val="none"/>
          <w:right w:val="none"/>
          <w:insideH w:val="none"/>
          <w:insideV w:val="none"/>
        </w:tblBorders>
        <w:tblLayout/>
      </w:tblPr>
      <w:tblGrid>
        <w:gridCol w:w="814"/>
        <w:gridCol w:w="785"/>
        <w:gridCol w:w="747"/>
        <w:gridCol w:w="818"/>
        <w:gridCol w:w="10822"/>
        <w:gridCol w:w="335"/>
        <w:gridCol w:w="818"/>
        <w:gridCol w:w="861"/>
      </w:tblGrid>
      <w:tr>
        <w:trPr>
          <w:trHeight w:val="30" w:hRule="atLeast"/>
        </w:trPr>
        <w:tc>
          <w:tcPr>
            <w:tcW w:w="81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трехжильных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прокладке</w:t>
            </w:r>
          </w:p>
        </w:tc>
      </w:tr>
      <w:tr>
        <w:trPr>
          <w:trHeight w:val="30" w:hRule="atLeast"/>
        </w:trPr>
        <w:tc>
          <w:tcPr>
            <w:tcW w:w="0" w:type="auto"/>
            <w:vMerge/>
            <w:tcBorders>
              <w:top w:val="nil"/>
              <w:left w:val="single" w:color="cfcfcf" w:sz="8"/>
              <w:bottom w:val="single" w:color="cfcfcf" w:sz="8"/>
              <w:right w:val="single" w:color="cfcfcf" w:sz="8"/>
            </w:tcBorders>
          </w:tcPr>
          <w:p/>
        </w:tc>
        <w:tc>
          <w:tcPr>
            <w:tcW w:w="7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7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воде</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земле</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воде</w:t>
            </w:r>
          </w:p>
        </w:tc>
        <w:tc>
          <w:tcPr>
            <w:tcW w:w="8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воздухе</w:t>
            </w:r>
          </w:p>
        </w:tc>
      </w:tr>
      <w:tr>
        <w:trPr>
          <w:trHeight w:val="30" w:hRule="atLeast"/>
        </w:trPr>
        <w:tc>
          <w:tcPr>
            <w:tcW w:w="8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7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c>
          <w:tcPr>
            <w:tcW w:w="7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8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7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7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81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185</w:t>
            </w:r>
          </w:p>
        </w:tc>
        <w:tc>
          <w:tcPr>
            <w:tcW w:w="78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155</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240</w:t>
            </w:r>
          </w:p>
          <w:p>
            <w:pPr>
              <w:spacing w:after="0"/>
              <w:ind w:left="14"/>
              <w:jc w:val="left"/>
            </w:pPr>
            <w:r>
              <w:rPr>
                <w:rFonts w:hint="default" w:ascii="Times New Roman" w:hAnsi="Times New Roman"/>
                <w:b w:val="false"/>
                <w:i w:val="false"/>
                <w:color w:val="000000"/>
                <w:sz w:val="24"/>
              </w:rPr>
              <w:t>275</w:t>
            </w:r>
          </w:p>
        </w:tc>
        <w:tc>
          <w:tcPr>
            <w:tcW w:w="74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245</w:t>
            </w:r>
          </w:p>
          <w:p>
            <w:pPr>
              <w:spacing w:after="14"/>
              <w:ind w:left="14"/>
              <w:jc w:val="left"/>
            </w:pPr>
            <w:r>
              <w:rPr>
                <w:rFonts w:hint="default" w:ascii="Times New Roman" w:hAnsi="Times New Roman"/>
                <w:b w:val="false"/>
                <w:i w:val="false"/>
                <w:color w:val="000000"/>
                <w:sz w:val="24"/>
              </w:rPr>
              <w:t>270</w:t>
            </w:r>
          </w:p>
          <w:p>
            <w:pPr>
              <w:spacing w:after="0"/>
              <w:ind w:left="14"/>
              <w:jc w:val="left"/>
            </w:pPr>
            <w:r>
              <w:rPr>
                <w:rFonts w:hint="default" w:ascii="Times New Roman" w:hAnsi="Times New Roman"/>
                <w:b w:val="false"/>
                <w:i w:val="false"/>
                <w:color w:val="000000"/>
                <w:sz w:val="24"/>
              </w:rPr>
              <w:t>300</w:t>
            </w:r>
          </w:p>
        </w:tc>
        <w:tc>
          <w:tcPr>
            <w:tcW w:w="8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115</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175</w:t>
            </w:r>
          </w:p>
          <w:p>
            <w:pPr>
              <w:spacing w:after="0"/>
              <w:ind w:left="14"/>
              <w:jc w:val="left"/>
            </w:pPr>
            <w:r>
              <w:rPr>
                <w:rFonts w:hint="default" w:ascii="Times New Roman" w:hAnsi="Times New Roman"/>
                <w:b w:val="false"/>
                <w:i w:val="false"/>
                <w:color w:val="000000"/>
                <w:sz w:val="24"/>
              </w:rPr>
              <w:t>205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240</w:t>
            </w:r>
          </w:p>
          <w:p>
            <w:pPr>
              <w:spacing w:after="0"/>
              <w:ind w:left="14"/>
              <w:jc w:val="left"/>
            </w:pPr>
            <w:r>
              <w:rPr>
                <w:rFonts w:hint="default" w:ascii="Times New Roman" w:hAnsi="Times New Roman"/>
                <w:b w:val="false"/>
                <w:i w:val="false"/>
                <w:color w:val="000000"/>
                <w:sz w:val="24"/>
              </w:rPr>
              <w:t>–</w:t>
            </w:r>
          </w:p>
        </w:tc>
        <w:tc>
          <w:tcPr>
            <w:tcW w:w="81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225</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86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160</w:t>
            </w:r>
          </w:p>
          <w:p>
            <w:pPr>
              <w:spacing w:after="14"/>
              <w:ind w:left="14"/>
              <w:jc w:val="left"/>
            </w:pPr>
            <w:r>
              <w:rPr>
                <w:rFonts w:hint="default" w:ascii="Times New Roman" w:hAnsi="Times New Roman"/>
                <w:b w:val="false"/>
                <w:i w:val="false"/>
                <w:color w:val="000000"/>
                <w:sz w:val="24"/>
              </w:rPr>
              <w:t>175</w:t>
            </w:r>
          </w:p>
          <w:p>
            <w:pPr>
              <w:spacing w:after="0"/>
              <w:ind w:left="14"/>
              <w:jc w:val="left"/>
            </w:pPr>
            <w:r>
              <w:rPr>
                <w:rFonts w:hint="default" w:ascii="Times New Roman" w:hAnsi="Times New Roman"/>
                <w:b w:val="false"/>
                <w:i w:val="false"/>
                <w:color w:val="000000"/>
                <w:sz w:val="24"/>
              </w:rPr>
              <w:t>–</w:t>
            </w:r>
          </w:p>
        </w:tc>
      </w:tr>
    </w:tbl>
    <w:bookmarkEnd w:id="4885"/>
    <w:bookmarkStart w:name="637606341" w:id="4886"/>
    <w:p>
      <w:pPr>
        <w:spacing w:before="120" w:after="120" w:line="240"/>
        <w:ind w:left="0"/>
        <w:jc w:val="both"/>
      </w:pPr>
      <w:r>
        <w:rPr>
          <w:rFonts w:hint="default" w:ascii="Times New Roman" w:hAnsi="Times New Roman"/>
          <w:b/>
          <w:i w:val="false"/>
          <w:color w:val="000000"/>
          <w:sz w:val="24"/>
        </w:rPr>
        <w:t>Поправочный коэффициент на допустимый длительный ток для кабелей, проложенных в земле, в зависимости от удельного сопротивления земли</w:t>
      </w:r>
    </w:p>
    <w:bookmarkEnd w:id="4886"/>
    <w:bookmarkStart w:name="637606342" w:id="488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23</w:t>
      </w:r>
    </w:p>
    <w:bookmarkEnd w:id="4887"/>
    <w:bookmarkStart w:name="637606343" w:id="4888"/>
    <w:tbl>
      <w:tblPr>
        <w:tblW w:w="18660" w:type="auto"/>
        <w:tblCellSpacing w:w="0" w:type="auto"/>
        <w:tblBorders>
          <w:top w:val="none"/>
          <w:left w:val="none"/>
          <w:bottom w:val="none"/>
          <w:right w:val="none"/>
          <w:insideH w:val="none"/>
          <w:insideV w:val="none"/>
        </w:tblBorders>
        <w:tblLayout/>
      </w:tblPr>
      <w:tblGrid>
        <w:gridCol w:w="10115"/>
        <w:gridCol w:w="3139"/>
        <w:gridCol w:w="2746"/>
      </w:tblGrid>
      <w:tr>
        <w:trPr>
          <w:trHeight w:val="30" w:hRule="atLeast"/>
        </w:trPr>
        <w:tc>
          <w:tcPr>
            <w:tcW w:w="101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земли</w:t>
            </w:r>
          </w:p>
        </w:tc>
        <w:tc>
          <w:tcPr>
            <w:tcW w:w="31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Удельное сопротивление см К/Вт</w:t>
            </w:r>
          </w:p>
        </w:tc>
        <w:tc>
          <w:tcPr>
            <w:tcW w:w="27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Поправочный коэффициент</w:t>
            </w:r>
          </w:p>
        </w:tc>
      </w:tr>
      <w:tr>
        <w:trPr>
          <w:trHeight w:val="30" w:hRule="atLeast"/>
        </w:trPr>
        <w:tc>
          <w:tcPr>
            <w:tcW w:w="101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Песок влажностью более 9 %, песчано-глинистая почва влажностью более 1 %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Нормальные почва и песок влажностью 7 – 9 %, песчано-глинистая почва влажностью 12 – 14 %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Песок влажностью более 4 и менее 7 %, песчано-глинистая почва влажностью 8 – 12 %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Песок влажностью до 4 %, каменистая почва</w:t>
            </w:r>
          </w:p>
        </w:tc>
        <w:tc>
          <w:tcPr>
            <w:tcW w:w="313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200</w:t>
            </w:r>
          </w:p>
          <w:p>
            <w:pPr>
              <w:spacing w:after="0"/>
              <w:ind w:left="14"/>
              <w:jc w:val="left"/>
            </w:pPr>
            <w:r>
              <w:rPr>
                <w:rFonts w:hint="default" w:ascii="Times New Roman" w:hAnsi="Times New Roman"/>
                <w:b w:val="false"/>
                <w:i w:val="false"/>
                <w:color w:val="000000"/>
                <w:sz w:val="24"/>
              </w:rPr>
              <w:t>300</w:t>
            </w:r>
          </w:p>
        </w:tc>
        <w:tc>
          <w:tcPr>
            <w:tcW w:w="274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0,87</w:t>
            </w:r>
          </w:p>
          <w:p>
            <w:pPr>
              <w:spacing w:after="0"/>
              <w:ind w:left="14"/>
              <w:jc w:val="left"/>
            </w:pPr>
            <w:r>
              <w:rPr>
                <w:rFonts w:hint="default" w:ascii="Times New Roman" w:hAnsi="Times New Roman"/>
                <w:b w:val="false"/>
                <w:i w:val="false"/>
                <w:color w:val="000000"/>
                <w:sz w:val="24"/>
              </w:rPr>
              <w:t>0,75</w:t>
            </w:r>
          </w:p>
        </w:tc>
      </w:tr>
    </w:tbl>
    <w:bookmarkEnd w:id="4888"/>
    <w:bookmarkStart w:name="637606344" w:id="4889"/>
    <w:p>
      <w:pPr>
        <w:spacing w:before="120" w:after="120" w:line="240"/>
        <w:ind w:left="0"/>
        <w:jc w:val="both"/>
      </w:pPr>
      <w:r>
        <w:rPr>
          <w:rFonts w:hint="default" w:ascii="Times New Roman" w:hAnsi="Times New Roman"/>
          <w:b/>
          <w:i w:val="false"/>
          <w:color w:val="000000"/>
          <w:sz w:val="24"/>
        </w:rPr>
        <w:t>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bookmarkEnd w:id="4889"/>
    <w:bookmarkStart w:name="637606345" w:id="489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24</w:t>
      </w:r>
    </w:p>
    <w:bookmarkEnd w:id="4890"/>
    <w:bookmarkStart w:name="637606346" w:id="4891"/>
    <w:tbl>
      <w:tblPr>
        <w:tblW w:w="18660" w:type="auto"/>
        <w:tblCellSpacing w:w="0" w:type="auto"/>
        <w:tblBorders>
          <w:top w:val="none"/>
          <w:left w:val="none"/>
          <w:bottom w:val="none"/>
          <w:right w:val="none"/>
          <w:insideH w:val="none"/>
          <w:insideV w:val="none"/>
        </w:tblBorders>
        <w:tblLayout/>
      </w:tblPr>
      <w:tblGrid>
        <w:gridCol w:w="3711"/>
        <w:gridCol w:w="3970"/>
        <w:gridCol w:w="4028"/>
        <w:gridCol w:w="4291"/>
      </w:tblGrid>
      <w:tr>
        <w:trPr>
          <w:trHeight w:val="30" w:hRule="atLeast"/>
        </w:trPr>
        <w:tc>
          <w:tcPr>
            <w:tcW w:w="371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39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40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42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3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9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40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2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371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0"/>
              <w:ind w:left="14"/>
              <w:jc w:val="left"/>
            </w:pPr>
            <w:r>
              <w:rPr>
                <w:rFonts w:hint="default" w:ascii="Times New Roman" w:hAnsi="Times New Roman"/>
                <w:b w:val="false"/>
                <w:i w:val="false"/>
                <w:color w:val="000000"/>
                <w:sz w:val="24"/>
              </w:rPr>
              <w:t>95</w:t>
            </w:r>
          </w:p>
        </w:tc>
        <w:tc>
          <w:tcPr>
            <w:tcW w:w="39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260/–</w:t>
            </w:r>
          </w:p>
          <w:p>
            <w:pPr>
              <w:spacing w:after="0"/>
              <w:ind w:left="14"/>
              <w:jc w:val="left"/>
            </w:pPr>
            <w:r>
              <w:rPr>
                <w:rFonts w:hint="default" w:ascii="Times New Roman" w:hAnsi="Times New Roman"/>
                <w:b w:val="false"/>
                <w:i w:val="false"/>
                <w:color w:val="000000"/>
                <w:sz w:val="24"/>
              </w:rPr>
              <w:t>305/–</w:t>
            </w:r>
          </w:p>
        </w:tc>
        <w:tc>
          <w:tcPr>
            <w:tcW w:w="402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105/110</w:t>
            </w:r>
          </w:p>
          <w:p>
            <w:pPr>
              <w:spacing w:after="14"/>
              <w:ind w:left="14"/>
              <w:jc w:val="left"/>
            </w:pPr>
            <w:r>
              <w:rPr>
                <w:rFonts w:hint="default" w:ascii="Times New Roman" w:hAnsi="Times New Roman"/>
                <w:b w:val="false"/>
                <w:i w:val="false"/>
                <w:color w:val="000000"/>
                <w:sz w:val="24"/>
              </w:rPr>
              <w:t>125/135</w:t>
            </w:r>
          </w:p>
          <w:p>
            <w:pPr>
              <w:spacing w:after="14"/>
              <w:ind w:left="14"/>
              <w:jc w:val="left"/>
            </w:pPr>
            <w:r>
              <w:rPr>
                <w:rFonts w:hint="default" w:ascii="Times New Roman" w:hAnsi="Times New Roman"/>
                <w:b w:val="false"/>
                <w:i w:val="false"/>
                <w:color w:val="000000"/>
                <w:sz w:val="24"/>
              </w:rPr>
              <w:t>155/165</w:t>
            </w:r>
          </w:p>
          <w:p>
            <w:pPr>
              <w:spacing w:after="14"/>
              <w:ind w:left="14"/>
              <w:jc w:val="left"/>
            </w:pPr>
            <w:r>
              <w:rPr>
                <w:rFonts w:hint="default" w:ascii="Times New Roman" w:hAnsi="Times New Roman"/>
                <w:b w:val="false"/>
                <w:i w:val="false"/>
                <w:color w:val="000000"/>
                <w:sz w:val="24"/>
              </w:rPr>
              <w:t>185/205</w:t>
            </w:r>
          </w:p>
          <w:p>
            <w:pPr>
              <w:spacing w:after="0"/>
              <w:ind w:left="14"/>
              <w:jc w:val="left"/>
            </w:pPr>
            <w:r>
              <w:rPr>
                <w:rFonts w:hint="default" w:ascii="Times New Roman" w:hAnsi="Times New Roman"/>
                <w:b w:val="false"/>
                <w:i w:val="false"/>
                <w:color w:val="000000"/>
                <w:sz w:val="24"/>
              </w:rPr>
              <w:t>220/255</w:t>
            </w:r>
          </w:p>
        </w:tc>
        <w:tc>
          <w:tcPr>
            <w:tcW w:w="429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r>
        <w:trPr>
          <w:trHeight w:val="30" w:hRule="atLeast"/>
        </w:trPr>
        <w:tc>
          <w:tcPr>
            <w:tcW w:w="371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625</w:t>
            </w:r>
          </w:p>
          <w:p>
            <w:pPr>
              <w:spacing w:after="0"/>
              <w:ind w:left="14"/>
              <w:jc w:val="left"/>
            </w:pPr>
            <w:r>
              <w:rPr>
                <w:rFonts w:hint="default" w:ascii="Times New Roman" w:hAnsi="Times New Roman"/>
                <w:b w:val="false"/>
                <w:i w:val="false"/>
                <w:color w:val="000000"/>
                <w:sz w:val="24"/>
              </w:rPr>
              <w:t>800</w:t>
            </w:r>
          </w:p>
        </w:tc>
        <w:tc>
          <w:tcPr>
            <w:tcW w:w="39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330/–</w:t>
            </w:r>
          </w:p>
          <w:p>
            <w:pPr>
              <w:spacing w:after="14"/>
              <w:ind w:left="14"/>
              <w:jc w:val="left"/>
            </w:pPr>
            <w:r>
              <w:rPr>
                <w:rFonts w:hint="default" w:ascii="Times New Roman" w:hAnsi="Times New Roman"/>
                <w:b w:val="false"/>
                <w:i w:val="false"/>
                <w:color w:val="000000"/>
                <w:sz w:val="24"/>
              </w:rPr>
              <w:t>360/–</w:t>
            </w:r>
          </w:p>
          <w:p>
            <w:pPr>
              <w:spacing w:after="14"/>
              <w:ind w:left="14"/>
              <w:jc w:val="left"/>
            </w:pPr>
            <w:r>
              <w:rPr>
                <w:rFonts w:hint="default" w:ascii="Times New Roman" w:hAnsi="Times New Roman"/>
                <w:b w:val="false"/>
                <w:i w:val="false"/>
                <w:color w:val="000000"/>
                <w:sz w:val="24"/>
              </w:rPr>
              <w:t>385/–</w:t>
            </w:r>
          </w:p>
          <w:p>
            <w:pPr>
              <w:spacing w:after="14"/>
              <w:ind w:left="14"/>
              <w:jc w:val="left"/>
            </w:pPr>
            <w:r>
              <w:rPr>
                <w:rFonts w:hint="default" w:ascii="Times New Roman" w:hAnsi="Times New Roman"/>
                <w:b w:val="false"/>
                <w:i w:val="false"/>
                <w:color w:val="000000"/>
                <w:sz w:val="24"/>
              </w:rPr>
              <w:t>435/–</w:t>
            </w:r>
          </w:p>
          <w:p>
            <w:pPr>
              <w:spacing w:after="14"/>
              <w:ind w:left="14"/>
              <w:jc w:val="left"/>
            </w:pPr>
            <w:r>
              <w:rPr>
                <w:rFonts w:hint="default" w:ascii="Times New Roman" w:hAnsi="Times New Roman"/>
                <w:b w:val="false"/>
                <w:i w:val="false"/>
                <w:color w:val="000000"/>
                <w:sz w:val="24"/>
              </w:rPr>
              <w:t>460/–</w:t>
            </w:r>
          </w:p>
          <w:p>
            <w:pPr>
              <w:spacing w:after="14"/>
              <w:ind w:left="14"/>
              <w:jc w:val="left"/>
            </w:pPr>
            <w:r>
              <w:rPr>
                <w:rFonts w:hint="default" w:ascii="Times New Roman" w:hAnsi="Times New Roman"/>
                <w:b w:val="false"/>
                <w:i w:val="false"/>
                <w:color w:val="000000"/>
                <w:sz w:val="24"/>
              </w:rPr>
              <w:t>485/–</w:t>
            </w:r>
          </w:p>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525/–</w:t>
            </w:r>
          </w:p>
          <w:p>
            <w:pPr>
              <w:spacing w:after="0"/>
              <w:ind w:left="14"/>
              <w:jc w:val="left"/>
            </w:pPr>
            <w:r>
              <w:rPr>
                <w:rFonts w:hint="default" w:ascii="Times New Roman" w:hAnsi="Times New Roman"/>
                <w:b w:val="false"/>
                <w:i w:val="false"/>
                <w:color w:val="000000"/>
                <w:sz w:val="24"/>
              </w:rPr>
              <w:t>550/–</w:t>
            </w:r>
          </w:p>
        </w:tc>
        <w:tc>
          <w:tcPr>
            <w:tcW w:w="402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245/290</w:t>
            </w:r>
          </w:p>
          <w:p>
            <w:pPr>
              <w:spacing w:after="14"/>
              <w:ind w:left="14"/>
              <w:jc w:val="left"/>
            </w:pPr>
            <w:r>
              <w:rPr>
                <w:rFonts w:hint="default" w:ascii="Times New Roman" w:hAnsi="Times New Roman"/>
                <w:b w:val="false"/>
                <w:i w:val="false"/>
                <w:color w:val="000000"/>
                <w:sz w:val="24"/>
              </w:rPr>
              <w:t>270/330</w:t>
            </w:r>
          </w:p>
          <w:p>
            <w:pPr>
              <w:spacing w:after="14"/>
              <w:ind w:left="14"/>
              <w:jc w:val="left"/>
            </w:pPr>
            <w:r>
              <w:rPr>
                <w:rFonts w:hint="default" w:ascii="Times New Roman" w:hAnsi="Times New Roman"/>
                <w:b w:val="false"/>
                <w:i w:val="false"/>
                <w:color w:val="000000"/>
                <w:sz w:val="24"/>
              </w:rPr>
              <w:t>290/360</w:t>
            </w:r>
          </w:p>
          <w:p>
            <w:pPr>
              <w:spacing w:after="14"/>
              <w:ind w:left="14"/>
              <w:jc w:val="left"/>
            </w:pPr>
            <w:r>
              <w:rPr>
                <w:rFonts w:hint="default" w:ascii="Times New Roman" w:hAnsi="Times New Roman"/>
                <w:b w:val="false"/>
                <w:i w:val="false"/>
                <w:color w:val="000000"/>
                <w:sz w:val="24"/>
              </w:rPr>
              <w:t>320/395</w:t>
            </w:r>
          </w:p>
          <w:p>
            <w:pPr>
              <w:spacing w:after="14"/>
              <w:ind w:left="14"/>
              <w:jc w:val="left"/>
            </w:pPr>
            <w:r>
              <w:rPr>
                <w:rFonts w:hint="default" w:ascii="Times New Roman" w:hAnsi="Times New Roman"/>
                <w:b w:val="false"/>
                <w:i w:val="false"/>
                <w:color w:val="000000"/>
                <w:sz w:val="24"/>
              </w:rPr>
              <w:t>350/425</w:t>
            </w:r>
          </w:p>
          <w:p>
            <w:pPr>
              <w:spacing w:after="14"/>
              <w:ind w:left="14"/>
              <w:jc w:val="left"/>
            </w:pPr>
            <w:r>
              <w:rPr>
                <w:rFonts w:hint="default" w:ascii="Times New Roman" w:hAnsi="Times New Roman"/>
                <w:b w:val="false"/>
                <w:i w:val="false"/>
                <w:color w:val="000000"/>
                <w:sz w:val="24"/>
              </w:rPr>
              <w:t>370/450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29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240/265</w:t>
            </w:r>
          </w:p>
          <w:p>
            <w:pPr>
              <w:spacing w:after="14"/>
              <w:ind w:left="14"/>
              <w:jc w:val="left"/>
            </w:pPr>
            <w:r>
              <w:rPr>
                <w:rFonts w:hint="default" w:ascii="Times New Roman" w:hAnsi="Times New Roman"/>
                <w:b w:val="false"/>
                <w:i w:val="false"/>
                <w:color w:val="000000"/>
                <w:sz w:val="24"/>
              </w:rPr>
              <w:t>265/300</w:t>
            </w:r>
          </w:p>
          <w:p>
            <w:pPr>
              <w:spacing w:after="14"/>
              <w:ind w:left="14"/>
              <w:jc w:val="left"/>
            </w:pPr>
            <w:r>
              <w:rPr>
                <w:rFonts w:hint="default" w:ascii="Times New Roman" w:hAnsi="Times New Roman"/>
                <w:b w:val="false"/>
                <w:i w:val="false"/>
                <w:color w:val="000000"/>
                <w:sz w:val="24"/>
              </w:rPr>
              <w:t>285/335</w:t>
            </w:r>
          </w:p>
          <w:p>
            <w:pPr>
              <w:spacing w:after="14"/>
              <w:ind w:left="14"/>
              <w:jc w:val="left"/>
            </w:pPr>
            <w:r>
              <w:rPr>
                <w:rFonts w:hint="default" w:ascii="Times New Roman" w:hAnsi="Times New Roman"/>
                <w:b w:val="false"/>
                <w:i w:val="false"/>
                <w:color w:val="000000"/>
                <w:sz w:val="24"/>
              </w:rPr>
              <w:t>315/380</w:t>
            </w:r>
          </w:p>
          <w:p>
            <w:pPr>
              <w:spacing w:after="14"/>
              <w:ind w:left="14"/>
              <w:jc w:val="left"/>
            </w:pPr>
            <w:r>
              <w:rPr>
                <w:rFonts w:hint="default" w:ascii="Times New Roman" w:hAnsi="Times New Roman"/>
                <w:b w:val="false"/>
                <w:i w:val="false"/>
                <w:color w:val="000000"/>
                <w:sz w:val="24"/>
              </w:rPr>
              <w:t>340/420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91"/>
    <w:bookmarkStart w:name="637606347" w:id="48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числителе указаны токи для кабелей, расположенных в одной плоскости с расстоянием 35–125 мм, в знаменателе – для кабелей, расположенных вплотную треугольником.</w:t>
      </w:r>
    </w:p>
    <w:bookmarkEnd w:id="4892"/>
    <w:bookmarkStart w:name="637606348" w:id="4893"/>
    <w:p>
      <w:pPr>
        <w:spacing w:before="120" w:after="120" w:line="240"/>
        <w:ind w:left="0"/>
        <w:jc w:val="both"/>
      </w:pPr>
      <w:r>
        <w:rPr>
          <w:rFonts w:hint="default" w:ascii="Times New Roman" w:hAnsi="Times New Roman"/>
          <w:b/>
          <w:i w:val="false"/>
          <w:color w:val="000000"/>
          <w:sz w:val="24"/>
        </w:rPr>
        <w:t>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bookmarkEnd w:id="4893"/>
    <w:bookmarkStart w:name="637606349" w:id="489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25</w:t>
      </w:r>
    </w:p>
    <w:bookmarkEnd w:id="4894"/>
    <w:bookmarkStart w:name="637606350" w:id="4895"/>
    <w:tbl>
      <w:tblPr>
        <w:tblW w:w="18660" w:type="auto"/>
        <w:tblCellSpacing w:w="0" w:type="auto"/>
        <w:tblBorders>
          <w:top w:val="none"/>
          <w:left w:val="none"/>
          <w:bottom w:val="none"/>
          <w:right w:val="none"/>
          <w:insideH w:val="none"/>
          <w:insideV w:val="none"/>
        </w:tblBorders>
        <w:tblLayout/>
      </w:tblPr>
      <w:tblGrid>
        <w:gridCol w:w="3711"/>
        <w:gridCol w:w="3970"/>
        <w:gridCol w:w="4028"/>
        <w:gridCol w:w="4291"/>
      </w:tblGrid>
      <w:tr>
        <w:trPr>
          <w:trHeight w:val="30" w:hRule="atLeast"/>
        </w:trPr>
        <w:tc>
          <w:tcPr>
            <w:tcW w:w="371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для кабелей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39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w:t>
            </w:r>
          </w:p>
        </w:tc>
        <w:tc>
          <w:tcPr>
            <w:tcW w:w="40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42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371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14"/>
              <w:ind w:left="14"/>
              <w:jc w:val="left"/>
            </w:pPr>
            <w:r>
              <w:rPr>
                <w:rFonts w:hint="default" w:ascii="Times New Roman" w:hAnsi="Times New Roman"/>
                <w:b w:val="false"/>
                <w:i w:val="false"/>
                <w:color w:val="000000"/>
                <w:sz w:val="24"/>
              </w:rPr>
              <w:t>240</w:t>
            </w:r>
          </w:p>
          <w:p>
            <w:pPr>
              <w:spacing w:after="14"/>
              <w:ind w:left="14"/>
              <w:jc w:val="left"/>
            </w:pPr>
            <w:r>
              <w:rPr>
                <w:rFonts w:hint="default" w:ascii="Times New Roman" w:hAnsi="Times New Roman"/>
                <w:b w:val="false"/>
                <w:i w:val="false"/>
                <w:color w:val="000000"/>
                <w:sz w:val="24"/>
              </w:rPr>
              <w:t>300</w:t>
            </w:r>
          </w:p>
          <w:p>
            <w:pPr>
              <w:spacing w:after="14"/>
              <w:ind w:left="14"/>
              <w:jc w:val="left"/>
            </w:pPr>
            <w:r>
              <w:rPr>
                <w:rFonts w:hint="default" w:ascii="Times New Roman" w:hAnsi="Times New Roman"/>
                <w:b w:val="false"/>
                <w:i w:val="false"/>
                <w:color w:val="000000"/>
                <w:sz w:val="24"/>
              </w:rPr>
              <w:t>400</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625</w:t>
            </w:r>
          </w:p>
          <w:p>
            <w:pPr>
              <w:spacing w:after="0"/>
              <w:ind w:left="14"/>
              <w:jc w:val="left"/>
            </w:pPr>
            <w:r>
              <w:rPr>
                <w:rFonts w:hint="default" w:ascii="Times New Roman" w:hAnsi="Times New Roman"/>
                <w:b w:val="false"/>
                <w:i w:val="false"/>
                <w:color w:val="000000"/>
                <w:sz w:val="24"/>
              </w:rPr>
              <w:t>800</w:t>
            </w:r>
          </w:p>
        </w:tc>
        <w:tc>
          <w:tcPr>
            <w:tcW w:w="397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110/–</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200/–</w:t>
            </w:r>
          </w:p>
          <w:p>
            <w:pPr>
              <w:spacing w:after="14"/>
              <w:ind w:left="14"/>
              <w:jc w:val="left"/>
            </w:pPr>
            <w:r>
              <w:rPr>
                <w:rFonts w:hint="default" w:ascii="Times New Roman" w:hAnsi="Times New Roman"/>
                <w:b w:val="false"/>
                <w:i w:val="false"/>
                <w:color w:val="000000"/>
                <w:sz w:val="24"/>
              </w:rPr>
              <w:t>235/–</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335/–</w:t>
            </w:r>
          </w:p>
          <w:p>
            <w:pPr>
              <w:spacing w:after="14"/>
              <w:ind w:left="14"/>
              <w:jc w:val="left"/>
            </w:pPr>
            <w:r>
              <w:rPr>
                <w:rFonts w:hint="default" w:ascii="Times New Roman" w:hAnsi="Times New Roman"/>
                <w:b w:val="false"/>
                <w:i w:val="false"/>
                <w:color w:val="000000"/>
                <w:sz w:val="24"/>
              </w:rPr>
              <w:t>355/–</w:t>
            </w:r>
          </w:p>
          <w:p>
            <w:pPr>
              <w:spacing w:after="14"/>
              <w:ind w:left="14"/>
              <w:jc w:val="left"/>
            </w:pPr>
            <w:r>
              <w:rPr>
                <w:rFonts w:hint="default" w:ascii="Times New Roman" w:hAnsi="Times New Roman"/>
                <w:b w:val="false"/>
                <w:i w:val="false"/>
                <w:color w:val="000000"/>
                <w:sz w:val="24"/>
              </w:rPr>
              <w:t>375/–</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405/–</w:t>
            </w:r>
          </w:p>
          <w:p>
            <w:pPr>
              <w:spacing w:after="0"/>
              <w:ind w:left="14"/>
              <w:jc w:val="left"/>
            </w:pPr>
            <w:r>
              <w:rPr>
                <w:rFonts w:hint="default" w:ascii="Times New Roman" w:hAnsi="Times New Roman"/>
                <w:b w:val="false"/>
                <w:i w:val="false"/>
                <w:color w:val="000000"/>
                <w:sz w:val="24"/>
              </w:rPr>
              <w:t>425/–</w:t>
            </w:r>
          </w:p>
        </w:tc>
        <w:tc>
          <w:tcPr>
            <w:tcW w:w="402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80/85</w:t>
            </w:r>
          </w:p>
          <w:p>
            <w:pPr>
              <w:spacing w:after="14"/>
              <w:ind w:left="14"/>
              <w:jc w:val="left"/>
            </w:pPr>
            <w:r>
              <w:rPr>
                <w:rFonts w:hint="default" w:ascii="Times New Roman" w:hAnsi="Times New Roman"/>
                <w:b w:val="false"/>
                <w:i w:val="false"/>
                <w:color w:val="000000"/>
                <w:sz w:val="24"/>
              </w:rPr>
              <w:t>95/105</w:t>
            </w:r>
          </w:p>
          <w:p>
            <w:pPr>
              <w:spacing w:after="14"/>
              <w:ind w:left="14"/>
              <w:jc w:val="left"/>
            </w:pPr>
            <w:r>
              <w:rPr>
                <w:rFonts w:hint="default" w:ascii="Times New Roman" w:hAnsi="Times New Roman"/>
                <w:b w:val="false"/>
                <w:i w:val="false"/>
                <w:color w:val="000000"/>
                <w:sz w:val="24"/>
              </w:rPr>
              <w:t>120/130</w:t>
            </w:r>
          </w:p>
          <w:p>
            <w:pPr>
              <w:spacing w:after="14"/>
              <w:ind w:left="14"/>
              <w:jc w:val="left"/>
            </w:pPr>
            <w:r>
              <w:rPr>
                <w:rFonts w:hint="default" w:ascii="Times New Roman" w:hAnsi="Times New Roman"/>
                <w:b w:val="false"/>
                <w:i w:val="false"/>
                <w:color w:val="000000"/>
                <w:sz w:val="24"/>
              </w:rPr>
              <w:t>140/160</w:t>
            </w:r>
          </w:p>
          <w:p>
            <w:pPr>
              <w:spacing w:after="14"/>
              <w:ind w:left="14"/>
              <w:jc w:val="left"/>
            </w:pPr>
            <w:r>
              <w:rPr>
                <w:rFonts w:hint="default" w:ascii="Times New Roman" w:hAnsi="Times New Roman"/>
                <w:b w:val="false"/>
                <w:i w:val="false"/>
                <w:color w:val="000000"/>
                <w:sz w:val="24"/>
              </w:rPr>
              <w:t>170/195</w:t>
            </w:r>
          </w:p>
          <w:p>
            <w:pPr>
              <w:spacing w:after="14"/>
              <w:ind w:left="14"/>
              <w:jc w:val="left"/>
            </w:pPr>
            <w:r>
              <w:rPr>
                <w:rFonts w:hint="default" w:ascii="Times New Roman" w:hAnsi="Times New Roman"/>
                <w:b w:val="false"/>
                <w:i w:val="false"/>
                <w:color w:val="000000"/>
                <w:sz w:val="24"/>
              </w:rPr>
              <w:t>190/225</w:t>
            </w:r>
          </w:p>
          <w:p>
            <w:pPr>
              <w:spacing w:after="14"/>
              <w:ind w:left="14"/>
              <w:jc w:val="left"/>
            </w:pPr>
            <w:r>
              <w:rPr>
                <w:rFonts w:hint="default" w:ascii="Times New Roman" w:hAnsi="Times New Roman"/>
                <w:b w:val="false"/>
                <w:i w:val="false"/>
                <w:color w:val="000000"/>
                <w:sz w:val="24"/>
              </w:rPr>
              <w:t>210/255</w:t>
            </w:r>
          </w:p>
          <w:p>
            <w:pPr>
              <w:spacing w:after="14"/>
              <w:ind w:left="14"/>
              <w:jc w:val="left"/>
            </w:pPr>
            <w:r>
              <w:rPr>
                <w:rFonts w:hint="default" w:ascii="Times New Roman" w:hAnsi="Times New Roman"/>
                <w:b w:val="false"/>
                <w:i w:val="false"/>
                <w:color w:val="000000"/>
                <w:sz w:val="24"/>
              </w:rPr>
              <w:t>225/275</w:t>
            </w:r>
          </w:p>
          <w:p>
            <w:pPr>
              <w:spacing w:after="14"/>
              <w:ind w:left="14"/>
              <w:jc w:val="left"/>
            </w:pPr>
            <w:r>
              <w:rPr>
                <w:rFonts w:hint="default" w:ascii="Times New Roman" w:hAnsi="Times New Roman"/>
                <w:b w:val="false"/>
                <w:i w:val="false"/>
                <w:color w:val="000000"/>
                <w:sz w:val="24"/>
              </w:rPr>
              <w:t>245/305</w:t>
            </w:r>
          </w:p>
          <w:p>
            <w:pPr>
              <w:spacing w:after="14"/>
              <w:ind w:left="14"/>
              <w:jc w:val="left"/>
            </w:pPr>
            <w:r>
              <w:rPr>
                <w:rFonts w:hint="default" w:ascii="Times New Roman" w:hAnsi="Times New Roman"/>
                <w:b w:val="false"/>
                <w:i w:val="false"/>
                <w:color w:val="000000"/>
                <w:sz w:val="24"/>
              </w:rPr>
              <w:t>270/330</w:t>
            </w:r>
          </w:p>
          <w:p>
            <w:pPr>
              <w:spacing w:after="14"/>
              <w:ind w:left="14"/>
              <w:jc w:val="left"/>
            </w:pPr>
            <w:r>
              <w:rPr>
                <w:rFonts w:hint="default" w:ascii="Times New Roman" w:hAnsi="Times New Roman"/>
                <w:b w:val="false"/>
                <w:i w:val="false"/>
                <w:color w:val="000000"/>
                <w:sz w:val="24"/>
              </w:rPr>
              <w:t>285/350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29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185/205</w:t>
            </w:r>
          </w:p>
          <w:p>
            <w:pPr>
              <w:spacing w:after="14"/>
              <w:ind w:left="14"/>
              <w:jc w:val="left"/>
            </w:pPr>
            <w:r>
              <w:rPr>
                <w:rFonts w:hint="default" w:ascii="Times New Roman" w:hAnsi="Times New Roman"/>
                <w:b w:val="false"/>
                <w:i w:val="false"/>
                <w:color w:val="000000"/>
                <w:sz w:val="24"/>
              </w:rPr>
              <w:t>205/230</w:t>
            </w:r>
          </w:p>
          <w:p>
            <w:pPr>
              <w:spacing w:after="14"/>
              <w:ind w:left="14"/>
              <w:jc w:val="left"/>
            </w:pPr>
            <w:r>
              <w:rPr>
                <w:rFonts w:hint="default" w:ascii="Times New Roman" w:hAnsi="Times New Roman"/>
                <w:b w:val="false"/>
                <w:i w:val="false"/>
                <w:color w:val="000000"/>
                <w:sz w:val="24"/>
              </w:rPr>
              <w:t>220/255</w:t>
            </w:r>
          </w:p>
          <w:p>
            <w:pPr>
              <w:spacing w:after="14"/>
              <w:ind w:left="14"/>
              <w:jc w:val="left"/>
            </w:pPr>
            <w:r>
              <w:rPr>
                <w:rFonts w:hint="default" w:ascii="Times New Roman" w:hAnsi="Times New Roman"/>
                <w:b w:val="false"/>
                <w:i w:val="false"/>
                <w:color w:val="000000"/>
                <w:sz w:val="24"/>
              </w:rPr>
              <w:t>245/290</w:t>
            </w:r>
          </w:p>
          <w:p>
            <w:pPr>
              <w:spacing w:after="14"/>
              <w:ind w:left="14"/>
              <w:jc w:val="left"/>
            </w:pPr>
            <w:r>
              <w:rPr>
                <w:rFonts w:hint="default" w:ascii="Times New Roman" w:hAnsi="Times New Roman"/>
                <w:b w:val="false"/>
                <w:i w:val="false"/>
                <w:color w:val="000000"/>
                <w:sz w:val="24"/>
              </w:rPr>
              <w:t>260/330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895"/>
    <w:bookmarkStart w:name="637606351" w:id="48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числителе указаны токи для кабелей, расположенных в одной плоскости с расстоянием в свету 35 – 125 мм, в знаменателе – для кабелей, расположенных вплотную треугольником.</w:t>
      </w:r>
    </w:p>
    <w:bookmarkEnd w:id="4896"/>
    <w:bookmarkStart w:name="637606352" w:id="4897"/>
    <w:p>
      <w:pPr>
        <w:spacing w:before="120" w:after="120" w:line="240"/>
        <w:ind w:left="0"/>
        <w:jc w:val="both"/>
      </w:pPr>
      <w:r>
        <w:rPr>
          <w:rFonts w:hint="default" w:ascii="Times New Roman" w:hAnsi="Times New Roman"/>
          <w:b/>
          <w:i w:val="false"/>
          <w:color w:val="000000"/>
          <w:sz w:val="24"/>
        </w:rPr>
        <w:t>Поправочный коэффициент на количество работающих кабелей, лежащих рядом в земле (в трубах или без труб)</w:t>
      </w:r>
    </w:p>
    <w:bookmarkEnd w:id="4897"/>
    <w:bookmarkStart w:name="637606353" w:id="489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26</w:t>
      </w:r>
    </w:p>
    <w:bookmarkEnd w:id="4898"/>
    <w:bookmarkStart w:name="637606354" w:id="4899"/>
    <w:tbl>
      <w:tblPr>
        <w:tblW w:w="18660" w:type="auto"/>
        <w:tblCellSpacing w:w="0" w:type="auto"/>
        <w:tblBorders>
          <w:top w:val="none"/>
          <w:left w:val="none"/>
          <w:bottom w:val="none"/>
          <w:right w:val="none"/>
          <w:insideH w:val="none"/>
          <w:insideV w:val="none"/>
        </w:tblBorders>
        <w:tblLayout/>
      </w:tblPr>
      <w:tblGrid>
        <w:gridCol w:w="5337"/>
        <w:gridCol w:w="1850"/>
        <w:gridCol w:w="1688"/>
        <w:gridCol w:w="1543"/>
        <w:gridCol w:w="1688"/>
        <w:gridCol w:w="1947"/>
        <w:gridCol w:w="1947"/>
      </w:tblGrid>
      <w:tr>
        <w:trPr>
          <w:trHeight w:val="30" w:hRule="atLeast"/>
        </w:trPr>
        <w:tc>
          <w:tcPr>
            <w:tcW w:w="533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между кабелями в свету,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при количестве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1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5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9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9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53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300</w:t>
            </w:r>
          </w:p>
        </w:tc>
        <w:tc>
          <w:tcPr>
            <w:tcW w:w="1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16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0,92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0,93</w:t>
            </w:r>
          </w:p>
        </w:tc>
        <w:tc>
          <w:tcPr>
            <w:tcW w:w="15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0,90</w:t>
            </w:r>
          </w:p>
        </w:tc>
        <w:tc>
          <w:tcPr>
            <w:tcW w:w="16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0,87</w:t>
            </w:r>
          </w:p>
        </w:tc>
        <w:tc>
          <w:tcPr>
            <w:tcW w:w="19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0,86</w:t>
            </w:r>
          </w:p>
        </w:tc>
        <w:tc>
          <w:tcPr>
            <w:tcW w:w="19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0,85</w:t>
            </w:r>
          </w:p>
        </w:tc>
      </w:tr>
    </w:tbl>
    <w:bookmarkEnd w:id="4899"/>
    <w:bookmarkStart w:name="637606355" w:id="4900"/>
    <w:p>
      <w:pPr>
        <w:spacing w:before="120" w:after="120" w:line="240"/>
        <w:ind w:left="0"/>
        <w:jc w:val="both"/>
      </w:pPr>
      <w:r>
        <w:rPr>
          <w:rFonts w:hint="default" w:ascii="Times New Roman" w:hAnsi="Times New Roman"/>
          <w:b/>
          <w:i w:val="false"/>
          <w:color w:val="000000"/>
          <w:sz w:val="24"/>
        </w:rPr>
        <w:t>Допустимый длительный ток для кабелей 10 кВ с медными или алюминиевыми жилами сечением 95 мм</w:t>
      </w:r>
      <w:r>
        <w:rPr>
          <w:rFonts w:hint="default" w:ascii="Times New Roman" w:hAnsi="Times New Roman"/>
          <w:b/>
          <w:i w:val="false"/>
          <w:color w:val="000000"/>
          <w:vertAlign w:val="superscript"/>
        </w:rPr>
        <w:t>2</w:t>
      </w:r>
      <w:r>
        <w:rPr>
          <w:rFonts w:hint="default" w:ascii="Times New Roman" w:hAnsi="Times New Roman"/>
          <w:b/>
          <w:i w:val="false"/>
          <w:color w:val="000000"/>
          <w:sz w:val="24"/>
        </w:rPr>
        <w:t xml:space="preserve"> , прокладываемых в блоках</w:t>
      </w:r>
    </w:p>
    <w:bookmarkEnd w:id="4900"/>
    <w:bookmarkStart w:name="637606356" w:id="490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27</w:t>
      </w:r>
    </w:p>
    <w:bookmarkEnd w:id="4901"/>
    <w:bookmarkStart w:name="637606357" w:id="4902"/>
    <w:tbl>
      <w:tblPr>
        <w:tblW w:w="0" w:type="auto"/>
        <w:tblCellSpacing w:w="0" w:type="auto"/>
        <w:tblBorders>
          <w:top w:val="none"/>
          <w:left w:val="none"/>
          <w:bottom w:val="none"/>
          <w:right w:val="none"/>
          <w:insideH w:val="none"/>
          <w:insideV w:val="none"/>
        </w:tblBorders>
        <w:tblLayout/>
      </w:tblPr>
      <w:tblGrid>
        <w:gridCol w:w="969"/>
        <w:gridCol w:w="11960"/>
        <w:gridCol w:w="808"/>
        <w:gridCol w:w="1131"/>
        <w:gridCol w:w="1132"/>
      </w:tblGrid>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Конфигурация блоков</w:t>
            </w:r>
          </w:p>
        </w:tc>
        <w:tc>
          <w:tcPr>
            <w:tcW w:w="80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канала</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Ток /, А</w:t>
            </w:r>
          </w:p>
          <w:p>
            <w:pPr>
              <w:spacing w:after="0"/>
              <w:ind w:left="14"/>
              <w:jc w:val="left"/>
            </w:pPr>
            <w:r>
              <w:rPr>
                <w:rFonts w:hint="default" w:ascii="Times New Roman" w:hAnsi="Times New Roman"/>
                <w:b w:val="false"/>
                <w:i w:val="false"/>
                <w:color w:val="000000"/>
                <w:sz w:val="24"/>
              </w:rPr>
              <w:t>для кабелей</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медных</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алюминиевых</w:t>
            </w:r>
          </w:p>
        </w:tc>
      </w:tr>
      <w:tr>
        <w:trPr>
          <w:trHeight w:val="30" w:hRule="atLeast"/>
        </w:trPr>
        <w:tc>
          <w:tcPr>
            <w:tcW w:w="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c>
          <w:tcPr>
            <w:tcW w:w="11960" w:type="dxa"/>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41300" cy="2413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191</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147</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1511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11300" cy="7239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173</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167</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129</w:t>
            </w:r>
          </w:p>
        </w:tc>
      </w:tr>
      <w:tr>
        <w:trPr>
          <w:trHeight w:val="30" w:hRule="atLeast"/>
        </w:trPr>
        <w:tc>
          <w:tcPr>
            <w:tcW w:w="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11960" w:type="dxa"/>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12319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31900" cy="914400"/>
                          </a:xfrm>
                          <a:prstGeom prst="rect">
                            <a:avLst/>
                          </a:prstGeom>
                        </pic:spPr>
                      </pic:pic>
                    </a:graphicData>
                  </a:graphic>
                </wp:inline>
              </w:drawing>
            </w:r>
            <w:r>
              <w:rPr>
                <w:rFonts w:hint="default" w:ascii="Times New Roman" w:hAnsi="Times New Roman"/>
                <w:b w:val="false"/>
                <w:i w:val="false"/>
                <w:color w:val="000000"/>
                <w:sz w:val="24"/>
              </w:rPr>
              <w:t xml:space="preserve"> </w:t>
            </w:r>
            <w:r>
              <w:drawing>
                <wp:inline distT="0" distB="0" distL="0" distR="0">
                  <wp:extent cx="1066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066800" cy="8509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154</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119</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IV</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914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14400" cy="7239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147</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113</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138</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106</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V</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28448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844800" cy="14224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VI</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571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71500" cy="5715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VII</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406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06400" cy="14097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136</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119</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VIII</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5715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715000" cy="10795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124</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IX</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4787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787900" cy="12573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X</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571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71500" cy="10795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w:t>
            </w:r>
          </w:p>
        </w:tc>
      </w:tr>
      <w:tr>
        <w:trPr>
          <w:trHeight w:val="30" w:hRule="atLeast"/>
        </w:trPr>
        <w:tc>
          <w:tcPr>
            <w:tcW w:w="9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XI</w:t>
            </w:r>
          </w:p>
        </w:tc>
        <w:tc>
          <w:tcPr>
            <w:tcW w:w="119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4305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305300" cy="1422400"/>
                          </a:xfrm>
                          <a:prstGeom prst="rect">
                            <a:avLst/>
                          </a:prstGeom>
                        </pic:spPr>
                      </pic:pic>
                    </a:graphicData>
                  </a:graphic>
                </wp:inline>
              </w:drawing>
            </w: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129</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88</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79</w:t>
            </w:r>
          </w:p>
        </w:tc>
        <w:tc>
          <w:tcPr>
            <w:tcW w:w="11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r>
    </w:tbl>
    <w:bookmarkEnd w:id="4902"/>
    <w:bookmarkStart w:name="637606358" w:id="4903"/>
    <w:p>
      <w:pPr>
        <w:spacing w:before="120" w:after="120" w:line="240"/>
        <w:ind w:left="0"/>
        <w:jc w:val="both"/>
      </w:pPr>
      <w:r>
        <w:rPr>
          <w:rFonts w:hint="default" w:ascii="Times New Roman" w:hAnsi="Times New Roman"/>
          <w:b/>
          <w:i w:val="false"/>
          <w:color w:val="000000"/>
          <w:sz w:val="24"/>
        </w:rPr>
        <w:t>Поправочный коэффициент на сечение кабеля</w:t>
      </w:r>
    </w:p>
    <w:bookmarkEnd w:id="4903"/>
    <w:bookmarkStart w:name="637606359" w:id="490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28</w:t>
      </w:r>
    </w:p>
    <w:bookmarkEnd w:id="4904"/>
    <w:bookmarkStart w:name="637606360" w:id="4905"/>
    <w:tbl>
      <w:tblPr>
        <w:tblW w:w="18660" w:type="auto"/>
        <w:tblCellSpacing w:w="0" w:type="auto"/>
        <w:tblBorders>
          <w:top w:val="none"/>
          <w:left w:val="none"/>
          <w:bottom w:val="none"/>
          <w:right w:val="none"/>
          <w:insideH w:val="none"/>
          <w:insideV w:val="none"/>
        </w:tblBorders>
        <w:tblLayout/>
      </w:tblPr>
      <w:tblGrid>
        <w:gridCol w:w="3491"/>
        <w:gridCol w:w="2765"/>
        <w:gridCol w:w="3193"/>
        <w:gridCol w:w="3193"/>
        <w:gridCol w:w="3358"/>
      </w:tblGrid>
      <w:tr>
        <w:trPr>
          <w:trHeight w:val="30" w:hRule="atLeast"/>
        </w:trPr>
        <w:tc>
          <w:tcPr>
            <w:tcW w:w="349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токопроводящей жилы,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для номера канала в блоке</w:t>
            </w:r>
          </w:p>
        </w:tc>
      </w:tr>
      <w:tr>
        <w:trPr>
          <w:trHeight w:val="30" w:hRule="atLeast"/>
        </w:trPr>
        <w:tc>
          <w:tcPr>
            <w:tcW w:w="0" w:type="auto"/>
            <w:vMerge/>
            <w:tcBorders>
              <w:top w:val="nil"/>
              <w:left w:val="single" w:color="cfcfcf" w:sz="8"/>
              <w:bottom w:val="single" w:color="cfcfcf" w:sz="8"/>
              <w:right w:val="single" w:color="cfcfcf" w:sz="8"/>
            </w:tcBorders>
          </w:tcPr>
          <w:p/>
        </w:tc>
        <w:tc>
          <w:tcPr>
            <w:tcW w:w="27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1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1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349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120</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185</w:t>
            </w:r>
          </w:p>
          <w:p>
            <w:pPr>
              <w:spacing w:after="0"/>
              <w:ind w:left="14"/>
              <w:jc w:val="left"/>
            </w:pPr>
            <w:r>
              <w:rPr>
                <w:rFonts w:hint="default" w:ascii="Times New Roman" w:hAnsi="Times New Roman"/>
                <w:b w:val="false"/>
                <w:i w:val="false"/>
                <w:color w:val="000000"/>
                <w:sz w:val="24"/>
              </w:rPr>
              <w:t>240</w:t>
            </w:r>
          </w:p>
        </w:tc>
        <w:tc>
          <w:tcPr>
            <w:tcW w:w="276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0,44</w:t>
            </w:r>
          </w:p>
          <w:p>
            <w:pPr>
              <w:spacing w:after="14"/>
              <w:ind w:left="14"/>
              <w:jc w:val="left"/>
            </w:pPr>
            <w:r>
              <w:rPr>
                <w:rFonts w:hint="default" w:ascii="Times New Roman" w:hAnsi="Times New Roman"/>
                <w:b w:val="false"/>
                <w:i w:val="false"/>
                <w:color w:val="000000"/>
                <w:sz w:val="24"/>
              </w:rPr>
              <w:t>0,54</w:t>
            </w:r>
          </w:p>
          <w:p>
            <w:pPr>
              <w:spacing w:after="14"/>
              <w:ind w:left="14"/>
              <w:jc w:val="left"/>
            </w:pPr>
            <w:r>
              <w:rPr>
                <w:rFonts w:hint="default" w:ascii="Times New Roman" w:hAnsi="Times New Roman"/>
                <w:b w:val="false"/>
                <w:i w:val="false"/>
                <w:color w:val="000000"/>
                <w:sz w:val="24"/>
              </w:rPr>
              <w:t>0,67</w:t>
            </w:r>
          </w:p>
          <w:p>
            <w:pPr>
              <w:spacing w:after="14"/>
              <w:ind w:left="14"/>
              <w:jc w:val="left"/>
            </w:pPr>
            <w:r>
              <w:rPr>
                <w:rFonts w:hint="default" w:ascii="Times New Roman" w:hAnsi="Times New Roman"/>
                <w:b w:val="false"/>
                <w:i w:val="false"/>
                <w:color w:val="000000"/>
                <w:sz w:val="24"/>
              </w:rPr>
              <w:t>0,81</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1,14</w:t>
            </w:r>
          </w:p>
          <w:p>
            <w:pPr>
              <w:spacing w:after="14"/>
              <w:ind w:left="14"/>
              <w:jc w:val="left"/>
            </w:pPr>
            <w:r>
              <w:rPr>
                <w:rFonts w:hint="default" w:ascii="Times New Roman" w:hAnsi="Times New Roman"/>
                <w:b w:val="false"/>
                <w:i w:val="false"/>
                <w:color w:val="000000"/>
                <w:sz w:val="24"/>
              </w:rPr>
              <w:t>1,33</w:t>
            </w:r>
          </w:p>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1,78</w:t>
            </w:r>
          </w:p>
        </w:tc>
        <w:tc>
          <w:tcPr>
            <w:tcW w:w="319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0,46</w:t>
            </w:r>
          </w:p>
          <w:p>
            <w:pPr>
              <w:spacing w:after="14"/>
              <w:ind w:left="14"/>
              <w:jc w:val="left"/>
            </w:pPr>
            <w:r>
              <w:rPr>
                <w:rFonts w:hint="default" w:ascii="Times New Roman" w:hAnsi="Times New Roman"/>
                <w:b w:val="false"/>
                <w:i w:val="false"/>
                <w:color w:val="000000"/>
                <w:sz w:val="24"/>
              </w:rPr>
              <w:t>0,57</w:t>
            </w:r>
          </w:p>
          <w:p>
            <w:pPr>
              <w:spacing w:after="14"/>
              <w:ind w:left="14"/>
              <w:jc w:val="left"/>
            </w:pPr>
            <w:r>
              <w:rPr>
                <w:rFonts w:hint="default" w:ascii="Times New Roman" w:hAnsi="Times New Roman"/>
                <w:b w:val="false"/>
                <w:i w:val="false"/>
                <w:color w:val="000000"/>
                <w:sz w:val="24"/>
              </w:rPr>
              <w:t>0,69</w:t>
            </w:r>
          </w:p>
          <w:p>
            <w:pPr>
              <w:spacing w:after="14"/>
              <w:ind w:left="14"/>
              <w:jc w:val="left"/>
            </w:pPr>
            <w:r>
              <w:rPr>
                <w:rFonts w:hint="default" w:ascii="Times New Roman" w:hAnsi="Times New Roman"/>
                <w:b w:val="false"/>
                <w:i w:val="false"/>
                <w:color w:val="000000"/>
                <w:sz w:val="24"/>
              </w:rPr>
              <w:t>0,84</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1,13</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1,46</w:t>
            </w:r>
          </w:p>
          <w:p>
            <w:pPr>
              <w:spacing w:after="0"/>
              <w:ind w:left="14"/>
              <w:jc w:val="left"/>
            </w:pPr>
            <w:r>
              <w:rPr>
                <w:rFonts w:hint="default" w:ascii="Times New Roman" w:hAnsi="Times New Roman"/>
                <w:b w:val="false"/>
                <w:i w:val="false"/>
                <w:color w:val="000000"/>
                <w:sz w:val="24"/>
              </w:rPr>
              <w:t>1,70</w:t>
            </w:r>
          </w:p>
        </w:tc>
        <w:tc>
          <w:tcPr>
            <w:tcW w:w="319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0,47</w:t>
            </w:r>
          </w:p>
          <w:p>
            <w:pPr>
              <w:spacing w:after="14"/>
              <w:ind w:left="14"/>
              <w:jc w:val="left"/>
            </w:pPr>
            <w:r>
              <w:rPr>
                <w:rFonts w:hint="default" w:ascii="Times New Roman" w:hAnsi="Times New Roman"/>
                <w:b w:val="false"/>
                <w:i w:val="false"/>
                <w:color w:val="000000"/>
                <w:sz w:val="24"/>
              </w:rPr>
              <w:t>0,57</w:t>
            </w:r>
          </w:p>
          <w:p>
            <w:pPr>
              <w:spacing w:after="14"/>
              <w:ind w:left="14"/>
              <w:jc w:val="left"/>
            </w:pPr>
            <w:r>
              <w:rPr>
                <w:rFonts w:hint="default" w:ascii="Times New Roman" w:hAnsi="Times New Roman"/>
                <w:b w:val="false"/>
                <w:i w:val="false"/>
                <w:color w:val="000000"/>
                <w:sz w:val="24"/>
              </w:rPr>
              <w:t>0,69</w:t>
            </w:r>
          </w:p>
          <w:p>
            <w:pPr>
              <w:spacing w:after="14"/>
              <w:ind w:left="14"/>
              <w:jc w:val="left"/>
            </w:pPr>
            <w:r>
              <w:rPr>
                <w:rFonts w:hint="default" w:ascii="Times New Roman" w:hAnsi="Times New Roman"/>
                <w:b w:val="false"/>
                <w:i w:val="false"/>
                <w:color w:val="000000"/>
                <w:sz w:val="24"/>
              </w:rPr>
              <w:t>0,84</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1,13</w:t>
            </w:r>
          </w:p>
          <w:p>
            <w:pPr>
              <w:spacing w:after="14"/>
              <w:ind w:left="14"/>
              <w:jc w:val="left"/>
            </w:pPr>
            <w:r>
              <w:rPr>
                <w:rFonts w:hint="default" w:ascii="Times New Roman" w:hAnsi="Times New Roman"/>
                <w:b w:val="false"/>
                <w:i w:val="false"/>
                <w:color w:val="000000"/>
                <w:sz w:val="24"/>
              </w:rPr>
              <w:t>1,29</w:t>
            </w:r>
          </w:p>
          <w:p>
            <w:pPr>
              <w:spacing w:after="14"/>
              <w:ind w:left="14"/>
              <w:jc w:val="left"/>
            </w:pPr>
            <w:r>
              <w:rPr>
                <w:rFonts w:hint="default" w:ascii="Times New Roman" w:hAnsi="Times New Roman"/>
                <w:b w:val="false"/>
                <w:i w:val="false"/>
                <w:color w:val="000000"/>
                <w:sz w:val="24"/>
              </w:rPr>
              <w:t>1,45</w:t>
            </w:r>
          </w:p>
          <w:p>
            <w:pPr>
              <w:spacing w:after="0"/>
              <w:ind w:left="14"/>
              <w:jc w:val="left"/>
            </w:pPr>
            <w:r>
              <w:rPr>
                <w:rFonts w:hint="default" w:ascii="Times New Roman" w:hAnsi="Times New Roman"/>
                <w:b w:val="false"/>
                <w:i w:val="false"/>
                <w:color w:val="000000"/>
                <w:sz w:val="24"/>
              </w:rPr>
              <w:t>1,68</w:t>
            </w:r>
          </w:p>
        </w:tc>
        <w:tc>
          <w:tcPr>
            <w:tcW w:w="335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0,51</w:t>
            </w:r>
          </w:p>
          <w:p>
            <w:pPr>
              <w:spacing w:after="14"/>
              <w:ind w:left="14"/>
              <w:jc w:val="left"/>
            </w:pPr>
            <w:r>
              <w:rPr>
                <w:rFonts w:hint="default" w:ascii="Times New Roman" w:hAnsi="Times New Roman"/>
                <w:b w:val="false"/>
                <w:i w:val="false"/>
                <w:color w:val="000000"/>
                <w:sz w:val="24"/>
              </w:rPr>
              <w:t>0,60</w:t>
            </w:r>
          </w:p>
          <w:p>
            <w:pPr>
              <w:spacing w:after="14"/>
              <w:ind w:left="14"/>
              <w:jc w:val="left"/>
            </w:pPr>
            <w:r>
              <w:rPr>
                <w:rFonts w:hint="default" w:ascii="Times New Roman" w:hAnsi="Times New Roman"/>
                <w:b w:val="false"/>
                <w:i w:val="false"/>
                <w:color w:val="000000"/>
                <w:sz w:val="24"/>
              </w:rPr>
              <w:t>0,71</w:t>
            </w:r>
          </w:p>
          <w:p>
            <w:pPr>
              <w:spacing w:after="14"/>
              <w:ind w:left="14"/>
              <w:jc w:val="left"/>
            </w:pPr>
            <w:r>
              <w:rPr>
                <w:rFonts w:hint="default" w:ascii="Times New Roman" w:hAnsi="Times New Roman"/>
                <w:b w:val="false"/>
                <w:i w:val="false"/>
                <w:color w:val="000000"/>
                <w:sz w:val="24"/>
              </w:rPr>
              <w:t>0,85</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1,12</w:t>
            </w:r>
          </w:p>
          <w:p>
            <w:pPr>
              <w:spacing w:after="14"/>
              <w:ind w:left="14"/>
              <w:jc w:val="left"/>
            </w:pPr>
            <w:r>
              <w:rPr>
                <w:rFonts w:hint="default" w:ascii="Times New Roman" w:hAnsi="Times New Roman"/>
                <w:b w:val="false"/>
                <w:i w:val="false"/>
                <w:color w:val="000000"/>
                <w:sz w:val="24"/>
              </w:rPr>
              <w:t>1,26</w:t>
            </w:r>
          </w:p>
          <w:p>
            <w:pPr>
              <w:spacing w:after="14"/>
              <w:ind w:left="14"/>
              <w:jc w:val="left"/>
            </w:pPr>
            <w:r>
              <w:rPr>
                <w:rFonts w:hint="default" w:ascii="Times New Roman" w:hAnsi="Times New Roman"/>
                <w:b w:val="false"/>
                <w:i w:val="false"/>
                <w:color w:val="000000"/>
                <w:sz w:val="24"/>
              </w:rPr>
              <w:t>1,38</w:t>
            </w:r>
          </w:p>
          <w:p>
            <w:pPr>
              <w:spacing w:after="0"/>
              <w:ind w:left="14"/>
              <w:jc w:val="left"/>
            </w:pPr>
            <w:r>
              <w:rPr>
                <w:rFonts w:hint="default" w:ascii="Times New Roman" w:hAnsi="Times New Roman"/>
                <w:b w:val="false"/>
                <w:i w:val="false"/>
                <w:color w:val="000000"/>
                <w:sz w:val="24"/>
              </w:rPr>
              <w:t>1,55</w:t>
            </w:r>
          </w:p>
        </w:tc>
      </w:tr>
    </w:tbl>
    <w:bookmarkEnd w:id="4905"/>
    <w:bookmarkStart w:name="637606361" w:id="4906"/>
    <w:p>
      <w:pPr>
        <w:spacing w:before="120" w:after="120" w:line="240"/>
        <w:ind w:left="0"/>
        <w:jc w:val="both"/>
      </w:pPr>
      <w:r>
        <w:rPr>
          <w:rFonts w:hint="default" w:ascii="Times New Roman" w:hAnsi="Times New Roman"/>
          <w:b/>
          <w:i w:val="false"/>
          <w:color w:val="000000"/>
          <w:sz w:val="24"/>
        </w:rPr>
        <w:t xml:space="preserve">Допустимый длительный ток для неизолированных проводов по </w:t>
      </w:r>
      <w:hyperlink r:id="rId62">
        <w:r>
          <w:rPr>
            <w:rFonts w:hint="default" w:ascii="Times New Roman" w:hAnsi="Times New Roman"/>
            <w:b/>
            <w:i w:val="false"/>
            <w:color w:val="007fcc"/>
            <w:sz w:val="24"/>
            <w:u w:val="single"/>
          </w:rPr>
          <w:t>ГОСТ 839-80</w:t>
        </w:r>
      </w:hyperlink>
    </w:p>
    <w:bookmarkEnd w:id="4906"/>
    <w:bookmarkStart w:name="637606362" w:id="490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29</w:t>
      </w:r>
    </w:p>
    <w:bookmarkEnd w:id="4907"/>
    <w:bookmarkStart w:name="637606363" w:id="4908"/>
    <w:tbl>
      <w:tblPr>
        <w:tblW w:w="18660" w:type="auto"/>
        <w:tblCellSpacing w:w="0" w:type="auto"/>
        <w:tblBorders>
          <w:top w:val="none"/>
          <w:left w:val="none"/>
          <w:bottom w:val="none"/>
          <w:right w:val="none"/>
          <w:insideH w:val="none"/>
          <w:insideV w:val="none"/>
        </w:tblBorders>
        <w:tblLayout/>
      </w:tblPr>
      <w:tblGrid>
        <w:gridCol w:w="1761"/>
        <w:gridCol w:w="2481"/>
        <w:gridCol w:w="2129"/>
        <w:gridCol w:w="2272"/>
        <w:gridCol w:w="1971"/>
        <w:gridCol w:w="1907"/>
        <w:gridCol w:w="1399"/>
        <w:gridCol w:w="2080"/>
      </w:tblGrid>
      <w:tr>
        <w:trPr>
          <w:trHeight w:val="30" w:hRule="atLeast"/>
        </w:trPr>
        <w:tc>
          <w:tcPr>
            <w:tcW w:w="1761" w:type="dxa"/>
            <w:vMerge w:val="restart"/>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Номинальное</w:t>
            </w:r>
          </w:p>
          <w:p>
            <w:pPr>
              <w:spacing w:after="0"/>
              <w:ind w:left="14"/>
              <w:jc w:val="left"/>
            </w:pPr>
            <w:r>
              <w:rPr>
                <w:rFonts w:hint="default" w:ascii="Times New Roman" w:hAnsi="Times New Roman"/>
                <w:b w:val="false"/>
                <w:i w:val="false"/>
                <w:color w:val="000000"/>
                <w:sz w:val="24"/>
              </w:rPr>
              <w:t>сечение,мм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248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Сечение(алюминий / сталь),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для проводов марок</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АС, АСКС, АСК, АСКП</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 и АКП</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 и АКП</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1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вне помещений</w:t>
            </w:r>
          </w:p>
        </w:tc>
        <w:tc>
          <w:tcPr>
            <w:tcW w:w="2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 помещений</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вне помещений</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 помещений</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70</w:t>
            </w:r>
          </w:p>
          <w:p>
            <w:pPr>
              <w:spacing w:after="0"/>
              <w:ind w:left="14"/>
              <w:jc w:val="left"/>
            </w:pPr>
            <w:r>
              <w:rPr>
                <w:rFonts w:hint="default" w:ascii="Times New Roman" w:hAnsi="Times New Roman"/>
                <w:b w:val="false"/>
                <w:i w:val="false"/>
                <w:color w:val="000000"/>
                <w:sz w:val="24"/>
              </w:rPr>
              <w:t>95</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10/1,8</w:t>
            </w:r>
          </w:p>
          <w:p>
            <w:pPr>
              <w:spacing w:after="14"/>
              <w:ind w:left="14"/>
              <w:jc w:val="left"/>
            </w:pPr>
            <w:r>
              <w:rPr>
                <w:rFonts w:hint="default" w:ascii="Times New Roman" w:hAnsi="Times New Roman"/>
                <w:b w:val="false"/>
                <w:i w:val="false"/>
                <w:color w:val="000000"/>
                <w:sz w:val="24"/>
              </w:rPr>
              <w:t>16/2,7</w:t>
            </w:r>
          </w:p>
          <w:p>
            <w:pPr>
              <w:spacing w:after="14"/>
              <w:ind w:left="14"/>
              <w:jc w:val="left"/>
            </w:pPr>
            <w:r>
              <w:rPr>
                <w:rFonts w:hint="default" w:ascii="Times New Roman" w:hAnsi="Times New Roman"/>
                <w:b w:val="false"/>
                <w:i w:val="false"/>
                <w:color w:val="000000"/>
                <w:sz w:val="24"/>
              </w:rPr>
              <w:t>25/4,2</w:t>
            </w:r>
          </w:p>
          <w:p>
            <w:pPr>
              <w:spacing w:after="14"/>
              <w:ind w:left="14"/>
              <w:jc w:val="left"/>
            </w:pPr>
            <w:r>
              <w:rPr>
                <w:rFonts w:hint="default" w:ascii="Times New Roman" w:hAnsi="Times New Roman"/>
                <w:b w:val="false"/>
                <w:i w:val="false"/>
                <w:color w:val="000000"/>
                <w:sz w:val="24"/>
              </w:rPr>
              <w:t>35/6,2</w:t>
            </w:r>
          </w:p>
          <w:p>
            <w:pPr>
              <w:spacing w:after="14"/>
              <w:ind w:left="14"/>
              <w:jc w:val="left"/>
            </w:pPr>
            <w:r>
              <w:rPr>
                <w:rFonts w:hint="default" w:ascii="Times New Roman" w:hAnsi="Times New Roman"/>
                <w:b w:val="false"/>
                <w:i w:val="false"/>
                <w:color w:val="000000"/>
                <w:sz w:val="24"/>
              </w:rPr>
              <w:t>50/8</w:t>
            </w:r>
          </w:p>
          <w:p>
            <w:pPr>
              <w:spacing w:after="14"/>
              <w:ind w:left="14"/>
              <w:jc w:val="left"/>
            </w:pPr>
            <w:r>
              <w:rPr>
                <w:rFonts w:hint="default" w:ascii="Times New Roman" w:hAnsi="Times New Roman"/>
                <w:b w:val="false"/>
                <w:i w:val="false"/>
                <w:color w:val="000000"/>
                <w:sz w:val="24"/>
              </w:rPr>
              <w:t>70/11</w:t>
            </w:r>
          </w:p>
          <w:p>
            <w:pPr>
              <w:spacing w:after="0"/>
              <w:ind w:left="14"/>
              <w:jc w:val="left"/>
            </w:pPr>
            <w:r>
              <w:rPr>
                <w:rFonts w:hint="default" w:ascii="Times New Roman" w:hAnsi="Times New Roman"/>
                <w:b w:val="false"/>
                <w:i w:val="false"/>
                <w:color w:val="000000"/>
                <w:sz w:val="24"/>
              </w:rPr>
              <w:t>95/16</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84</w:t>
            </w:r>
          </w:p>
          <w:p>
            <w:pPr>
              <w:spacing w:after="14"/>
              <w:ind w:left="14"/>
              <w:jc w:val="left"/>
            </w:pPr>
            <w:r>
              <w:rPr>
                <w:rFonts w:hint="default" w:ascii="Times New Roman" w:hAnsi="Times New Roman"/>
                <w:b w:val="false"/>
                <w:i w:val="false"/>
                <w:color w:val="000000"/>
                <w:sz w:val="24"/>
              </w:rPr>
              <w:t>111</w:t>
            </w:r>
          </w:p>
          <w:p>
            <w:pPr>
              <w:spacing w:after="14"/>
              <w:ind w:left="14"/>
              <w:jc w:val="left"/>
            </w:pPr>
            <w:r>
              <w:rPr>
                <w:rFonts w:hint="default" w:ascii="Times New Roman" w:hAnsi="Times New Roman"/>
                <w:b w:val="false"/>
                <w:i w:val="false"/>
                <w:color w:val="000000"/>
                <w:sz w:val="24"/>
              </w:rPr>
              <w:t>142</w:t>
            </w:r>
          </w:p>
          <w:p>
            <w:pPr>
              <w:spacing w:after="14"/>
              <w:ind w:left="14"/>
              <w:jc w:val="left"/>
            </w:pPr>
            <w:r>
              <w:rPr>
                <w:rFonts w:hint="default" w:ascii="Times New Roman" w:hAnsi="Times New Roman"/>
                <w:b w:val="false"/>
                <w:i w:val="false"/>
                <w:color w:val="000000"/>
                <w:sz w:val="24"/>
              </w:rPr>
              <w:t>175</w:t>
            </w:r>
          </w:p>
          <w:p>
            <w:pPr>
              <w:spacing w:after="14"/>
              <w:ind w:left="14"/>
              <w:jc w:val="left"/>
            </w:pPr>
            <w:r>
              <w:rPr>
                <w:rFonts w:hint="default" w:ascii="Times New Roman" w:hAnsi="Times New Roman"/>
                <w:b w:val="false"/>
                <w:i w:val="false"/>
                <w:color w:val="000000"/>
                <w:sz w:val="24"/>
              </w:rPr>
              <w:t>210</w:t>
            </w:r>
          </w:p>
          <w:p>
            <w:pPr>
              <w:spacing w:after="14"/>
              <w:ind w:left="14"/>
              <w:jc w:val="left"/>
            </w:pPr>
            <w:r>
              <w:rPr>
                <w:rFonts w:hint="default" w:ascii="Times New Roman" w:hAnsi="Times New Roman"/>
                <w:b w:val="false"/>
                <w:i w:val="false"/>
                <w:color w:val="000000"/>
                <w:sz w:val="24"/>
              </w:rPr>
              <w:t>265</w:t>
            </w:r>
          </w:p>
          <w:p>
            <w:pPr>
              <w:spacing w:after="0"/>
              <w:ind w:left="14"/>
              <w:jc w:val="left"/>
            </w:pPr>
            <w:r>
              <w:rPr>
                <w:rFonts w:hint="default" w:ascii="Times New Roman" w:hAnsi="Times New Roman"/>
                <w:b w:val="false"/>
                <w:i w:val="false"/>
                <w:color w:val="000000"/>
                <w:sz w:val="24"/>
              </w:rPr>
              <w:t>330</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53</w:t>
            </w:r>
          </w:p>
          <w:p>
            <w:pPr>
              <w:spacing w:after="14"/>
              <w:ind w:left="14"/>
              <w:jc w:val="left"/>
            </w:pPr>
            <w:r>
              <w:rPr>
                <w:rFonts w:hint="default" w:ascii="Times New Roman" w:hAnsi="Times New Roman"/>
                <w:b w:val="false"/>
                <w:i w:val="false"/>
                <w:color w:val="000000"/>
                <w:sz w:val="24"/>
              </w:rPr>
              <w:t>79</w:t>
            </w:r>
          </w:p>
          <w:p>
            <w:pPr>
              <w:spacing w:after="14"/>
              <w:ind w:left="14"/>
              <w:jc w:val="left"/>
            </w:pPr>
            <w:r>
              <w:rPr>
                <w:rFonts w:hint="default" w:ascii="Times New Roman" w:hAnsi="Times New Roman"/>
                <w:b w:val="false"/>
                <w:i w:val="false"/>
                <w:color w:val="000000"/>
                <w:sz w:val="24"/>
              </w:rPr>
              <w:t>109</w:t>
            </w:r>
          </w:p>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210</w:t>
            </w:r>
          </w:p>
          <w:p>
            <w:pPr>
              <w:spacing w:after="0"/>
              <w:ind w:left="14"/>
              <w:jc w:val="left"/>
            </w:pPr>
            <w:r>
              <w:rPr>
                <w:rFonts w:hint="default" w:ascii="Times New Roman" w:hAnsi="Times New Roman"/>
                <w:b w:val="false"/>
                <w:i w:val="false"/>
                <w:color w:val="000000"/>
                <w:sz w:val="24"/>
              </w:rPr>
              <w:t>260</w:t>
            </w:r>
          </w:p>
        </w:tc>
        <w:tc>
          <w:tcPr>
            <w:tcW w:w="197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95</w:t>
            </w:r>
          </w:p>
          <w:p>
            <w:pPr>
              <w:spacing w:after="14"/>
              <w:ind w:left="14"/>
              <w:jc w:val="left"/>
            </w:pPr>
            <w:r>
              <w:rPr>
                <w:rFonts w:hint="default" w:ascii="Times New Roman" w:hAnsi="Times New Roman"/>
                <w:b w:val="false"/>
                <w:i w:val="false"/>
                <w:color w:val="000000"/>
                <w:sz w:val="24"/>
              </w:rPr>
              <w:t>133</w:t>
            </w:r>
          </w:p>
          <w:p>
            <w:pPr>
              <w:spacing w:after="14"/>
              <w:ind w:left="14"/>
              <w:jc w:val="left"/>
            </w:pPr>
            <w:r>
              <w:rPr>
                <w:rFonts w:hint="default" w:ascii="Times New Roman" w:hAnsi="Times New Roman"/>
                <w:b w:val="false"/>
                <w:i w:val="false"/>
                <w:color w:val="000000"/>
                <w:sz w:val="24"/>
              </w:rPr>
              <w:t>183</w:t>
            </w:r>
          </w:p>
          <w:p>
            <w:pPr>
              <w:spacing w:after="14"/>
              <w:ind w:left="14"/>
              <w:jc w:val="left"/>
            </w:pPr>
            <w:r>
              <w:rPr>
                <w:rFonts w:hint="default" w:ascii="Times New Roman" w:hAnsi="Times New Roman"/>
                <w:b w:val="false"/>
                <w:i w:val="false"/>
                <w:color w:val="000000"/>
                <w:sz w:val="24"/>
              </w:rPr>
              <w:t>223</w:t>
            </w:r>
          </w:p>
          <w:p>
            <w:pPr>
              <w:spacing w:after="14"/>
              <w:ind w:left="14"/>
              <w:jc w:val="left"/>
            </w:pPr>
            <w:r>
              <w:rPr>
                <w:rFonts w:hint="default" w:ascii="Times New Roman" w:hAnsi="Times New Roman"/>
                <w:b w:val="false"/>
                <w:i w:val="false"/>
                <w:color w:val="000000"/>
                <w:sz w:val="24"/>
              </w:rPr>
              <w:t>275</w:t>
            </w:r>
          </w:p>
          <w:p>
            <w:pPr>
              <w:spacing w:after="14"/>
              <w:ind w:left="14"/>
              <w:jc w:val="left"/>
            </w:pPr>
            <w:r>
              <w:rPr>
                <w:rFonts w:hint="default" w:ascii="Times New Roman" w:hAnsi="Times New Roman"/>
                <w:b w:val="false"/>
                <w:i w:val="false"/>
                <w:color w:val="000000"/>
                <w:sz w:val="24"/>
              </w:rPr>
              <w:t>337</w:t>
            </w:r>
          </w:p>
          <w:p>
            <w:pPr>
              <w:spacing w:after="0"/>
              <w:ind w:left="14"/>
              <w:jc w:val="left"/>
            </w:pPr>
            <w:r>
              <w:rPr>
                <w:rFonts w:hint="default" w:ascii="Times New Roman" w:hAnsi="Times New Roman"/>
                <w:b w:val="false"/>
                <w:i w:val="false"/>
                <w:color w:val="000000"/>
                <w:sz w:val="24"/>
              </w:rPr>
              <w:t>422</w:t>
            </w:r>
          </w:p>
        </w:tc>
        <w:tc>
          <w:tcPr>
            <w:tcW w:w="190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105</w:t>
            </w:r>
          </w:p>
          <w:p>
            <w:pPr>
              <w:spacing w:after="14"/>
              <w:ind w:left="14"/>
              <w:jc w:val="left"/>
            </w:pPr>
            <w:r>
              <w:rPr>
                <w:rFonts w:hint="default" w:ascii="Times New Roman" w:hAnsi="Times New Roman"/>
                <w:b w:val="false"/>
                <w:i w:val="false"/>
                <w:color w:val="000000"/>
                <w:sz w:val="24"/>
              </w:rPr>
              <w:t>136</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215</w:t>
            </w:r>
          </w:p>
          <w:p>
            <w:pPr>
              <w:spacing w:after="14"/>
              <w:ind w:left="14"/>
              <w:jc w:val="left"/>
            </w:pPr>
            <w:r>
              <w:rPr>
                <w:rFonts w:hint="default" w:ascii="Times New Roman" w:hAnsi="Times New Roman"/>
                <w:b w:val="false"/>
                <w:i w:val="false"/>
                <w:color w:val="000000"/>
                <w:sz w:val="24"/>
              </w:rPr>
              <w:t>265</w:t>
            </w:r>
          </w:p>
          <w:p>
            <w:pPr>
              <w:spacing w:after="0"/>
              <w:ind w:left="14"/>
              <w:jc w:val="left"/>
            </w:pPr>
            <w:r>
              <w:rPr>
                <w:rFonts w:hint="default" w:ascii="Times New Roman" w:hAnsi="Times New Roman"/>
                <w:b w:val="false"/>
                <w:i w:val="false"/>
                <w:color w:val="000000"/>
                <w:sz w:val="24"/>
              </w:rPr>
              <w:t>320</w:t>
            </w:r>
          </w:p>
        </w:tc>
        <w:tc>
          <w:tcPr>
            <w:tcW w:w="13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p>
          <w:p>
            <w:pPr>
              <w:spacing w:after="14"/>
              <w:ind w:left="14"/>
              <w:jc w:val="left"/>
            </w:pPr>
            <w:r>
              <w:rPr>
                <w:rFonts w:hint="default" w:ascii="Times New Roman" w:hAnsi="Times New Roman"/>
                <w:b w:val="false"/>
                <w:i w:val="false"/>
                <w:color w:val="000000"/>
                <w:sz w:val="24"/>
              </w:rPr>
              <w:t>102</w:t>
            </w:r>
          </w:p>
          <w:p>
            <w:pPr>
              <w:spacing w:after="14"/>
              <w:ind w:left="14"/>
              <w:jc w:val="left"/>
            </w:pPr>
            <w:r>
              <w:rPr>
                <w:rFonts w:hint="default" w:ascii="Times New Roman" w:hAnsi="Times New Roman"/>
                <w:b w:val="false"/>
                <w:i w:val="false"/>
                <w:color w:val="000000"/>
                <w:sz w:val="24"/>
              </w:rPr>
              <w:t>137</w:t>
            </w:r>
          </w:p>
          <w:p>
            <w:pPr>
              <w:spacing w:after="14"/>
              <w:ind w:left="14"/>
              <w:jc w:val="left"/>
            </w:pPr>
            <w:r>
              <w:rPr>
                <w:rFonts w:hint="default" w:ascii="Times New Roman" w:hAnsi="Times New Roman"/>
                <w:b w:val="false"/>
                <w:i w:val="false"/>
                <w:color w:val="000000"/>
                <w:sz w:val="24"/>
              </w:rPr>
              <w:t>173</w:t>
            </w:r>
          </w:p>
          <w:p>
            <w:pPr>
              <w:spacing w:after="14"/>
              <w:ind w:left="14"/>
              <w:jc w:val="left"/>
            </w:pPr>
            <w:r>
              <w:rPr>
                <w:rFonts w:hint="default" w:ascii="Times New Roman" w:hAnsi="Times New Roman"/>
                <w:b w:val="false"/>
                <w:i w:val="false"/>
                <w:color w:val="000000"/>
                <w:sz w:val="24"/>
              </w:rPr>
              <w:t>219</w:t>
            </w:r>
          </w:p>
          <w:p>
            <w:pPr>
              <w:spacing w:after="14"/>
              <w:ind w:left="14"/>
              <w:jc w:val="left"/>
            </w:pPr>
            <w:r>
              <w:rPr>
                <w:rFonts w:hint="default" w:ascii="Times New Roman" w:hAnsi="Times New Roman"/>
                <w:b w:val="false"/>
                <w:i w:val="false"/>
                <w:color w:val="000000"/>
                <w:sz w:val="24"/>
              </w:rPr>
              <w:t>268</w:t>
            </w:r>
          </w:p>
          <w:p>
            <w:pPr>
              <w:spacing w:after="0"/>
              <w:ind w:left="14"/>
              <w:jc w:val="left"/>
            </w:pPr>
            <w:r>
              <w:rPr>
                <w:rFonts w:hint="default" w:ascii="Times New Roman" w:hAnsi="Times New Roman"/>
                <w:b w:val="false"/>
                <w:i w:val="false"/>
                <w:color w:val="000000"/>
                <w:sz w:val="24"/>
              </w:rPr>
              <w:t>341</w:t>
            </w:r>
          </w:p>
        </w:tc>
        <w:tc>
          <w:tcPr>
            <w:tcW w:w="208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106</w:t>
            </w:r>
          </w:p>
          <w:p>
            <w:pPr>
              <w:spacing w:after="14"/>
              <w:ind w:left="14"/>
              <w:jc w:val="left"/>
            </w:pPr>
            <w:r>
              <w:rPr>
                <w:rFonts w:hint="default" w:ascii="Times New Roman" w:hAnsi="Times New Roman"/>
                <w:b w:val="false"/>
                <w:i w:val="false"/>
                <w:color w:val="000000"/>
                <w:sz w:val="24"/>
              </w:rPr>
              <w:t>130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210</w:t>
            </w:r>
          </w:p>
          <w:p>
            <w:pPr>
              <w:spacing w:after="0"/>
              <w:ind w:left="14"/>
              <w:jc w:val="left"/>
            </w:pPr>
            <w:r>
              <w:rPr>
                <w:rFonts w:hint="default" w:ascii="Times New Roman" w:hAnsi="Times New Roman"/>
                <w:b w:val="false"/>
                <w:i w:val="false"/>
                <w:color w:val="000000"/>
                <w:sz w:val="24"/>
              </w:rPr>
              <w:t>255</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120/19</w:t>
            </w:r>
          </w:p>
          <w:p>
            <w:pPr>
              <w:spacing w:after="0"/>
              <w:ind w:left="14"/>
              <w:jc w:val="left"/>
            </w:pPr>
            <w:r>
              <w:rPr>
                <w:rFonts w:hint="default" w:ascii="Times New Roman" w:hAnsi="Times New Roman"/>
                <w:b w:val="false"/>
                <w:i w:val="false"/>
                <w:color w:val="000000"/>
                <w:sz w:val="24"/>
              </w:rPr>
              <w:t>120/27</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390</w:t>
            </w:r>
          </w:p>
          <w:p>
            <w:pPr>
              <w:spacing w:after="0"/>
              <w:ind w:left="14"/>
              <w:jc w:val="left"/>
            </w:pPr>
            <w:r>
              <w:rPr>
                <w:rFonts w:hint="default" w:ascii="Times New Roman" w:hAnsi="Times New Roman"/>
                <w:b w:val="false"/>
                <w:i w:val="false"/>
                <w:color w:val="000000"/>
                <w:sz w:val="24"/>
              </w:rPr>
              <w:t>375</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313</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485</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375</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395</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150/19</w:t>
            </w:r>
          </w:p>
          <w:p>
            <w:pPr>
              <w:spacing w:after="14"/>
              <w:ind w:left="14"/>
              <w:jc w:val="left"/>
            </w:pPr>
            <w:r>
              <w:rPr>
                <w:rFonts w:hint="default" w:ascii="Times New Roman" w:hAnsi="Times New Roman"/>
                <w:b w:val="false"/>
                <w:i w:val="false"/>
                <w:color w:val="000000"/>
                <w:sz w:val="24"/>
              </w:rPr>
              <w:t>150/24</w:t>
            </w:r>
          </w:p>
          <w:p>
            <w:pPr>
              <w:spacing w:after="0"/>
              <w:ind w:left="14"/>
              <w:jc w:val="left"/>
            </w:pPr>
            <w:r>
              <w:rPr>
                <w:rFonts w:hint="default" w:ascii="Times New Roman" w:hAnsi="Times New Roman"/>
                <w:b w:val="false"/>
                <w:i w:val="false"/>
                <w:color w:val="000000"/>
                <w:sz w:val="24"/>
              </w:rPr>
              <w:t>150/34</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450</w:t>
            </w:r>
          </w:p>
          <w:p>
            <w:pPr>
              <w:spacing w:after="14"/>
              <w:ind w:left="14"/>
              <w:jc w:val="left"/>
            </w:pPr>
            <w:r>
              <w:rPr>
                <w:rFonts w:hint="default" w:ascii="Times New Roman" w:hAnsi="Times New Roman"/>
                <w:b w:val="false"/>
                <w:i w:val="false"/>
                <w:color w:val="000000"/>
                <w:sz w:val="24"/>
              </w:rPr>
              <w:t>450</w:t>
            </w:r>
          </w:p>
          <w:p>
            <w:pPr>
              <w:spacing w:after="0"/>
              <w:ind w:left="14"/>
              <w:jc w:val="left"/>
            </w:pPr>
            <w:r>
              <w:rPr>
                <w:rFonts w:hint="default" w:ascii="Times New Roman" w:hAnsi="Times New Roman"/>
                <w:b w:val="false"/>
                <w:i w:val="false"/>
                <w:color w:val="000000"/>
                <w:sz w:val="24"/>
              </w:rPr>
              <w:t>450</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365</w:t>
            </w:r>
          </w:p>
          <w:p>
            <w:pPr>
              <w:spacing w:after="14"/>
              <w:ind w:left="14"/>
              <w:jc w:val="left"/>
            </w:pPr>
            <w:r>
              <w:rPr>
                <w:rFonts w:hint="default" w:ascii="Times New Roman" w:hAnsi="Times New Roman"/>
                <w:b w:val="false"/>
                <w:i w:val="false"/>
                <w:color w:val="000000"/>
                <w:sz w:val="24"/>
              </w:rPr>
              <w:t>365</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440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465</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355</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185/24</w:t>
            </w:r>
          </w:p>
          <w:p>
            <w:pPr>
              <w:spacing w:after="14"/>
              <w:ind w:left="14"/>
              <w:jc w:val="left"/>
            </w:pPr>
            <w:r>
              <w:rPr>
                <w:rFonts w:hint="default" w:ascii="Times New Roman" w:hAnsi="Times New Roman"/>
                <w:b w:val="false"/>
                <w:i w:val="false"/>
                <w:color w:val="000000"/>
                <w:sz w:val="24"/>
              </w:rPr>
              <w:t>185/29</w:t>
            </w:r>
          </w:p>
          <w:p>
            <w:pPr>
              <w:spacing w:after="0"/>
              <w:ind w:left="14"/>
              <w:jc w:val="left"/>
            </w:pPr>
            <w:r>
              <w:rPr>
                <w:rFonts w:hint="default" w:ascii="Times New Roman" w:hAnsi="Times New Roman"/>
                <w:b w:val="false"/>
                <w:i w:val="false"/>
                <w:color w:val="000000"/>
                <w:sz w:val="24"/>
              </w:rPr>
              <w:t>185/43</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520</w:t>
            </w:r>
          </w:p>
          <w:p>
            <w:pPr>
              <w:spacing w:after="14"/>
              <w:ind w:left="14"/>
              <w:jc w:val="left"/>
            </w:pPr>
            <w:r>
              <w:rPr>
                <w:rFonts w:hint="default" w:ascii="Times New Roman" w:hAnsi="Times New Roman"/>
                <w:b w:val="false"/>
                <w:i w:val="false"/>
                <w:color w:val="000000"/>
                <w:sz w:val="24"/>
              </w:rPr>
              <w:t>510</w:t>
            </w:r>
          </w:p>
          <w:p>
            <w:pPr>
              <w:spacing w:after="0"/>
              <w:ind w:left="14"/>
              <w:jc w:val="left"/>
            </w:pPr>
            <w:r>
              <w:rPr>
                <w:rFonts w:hint="default" w:ascii="Times New Roman" w:hAnsi="Times New Roman"/>
                <w:b w:val="false"/>
                <w:i w:val="false"/>
                <w:color w:val="000000"/>
                <w:sz w:val="24"/>
              </w:rPr>
              <w:t>515</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430</w:t>
            </w:r>
          </w:p>
          <w:p>
            <w:pPr>
              <w:spacing w:after="14"/>
              <w:ind w:left="14"/>
              <w:jc w:val="left"/>
            </w:pPr>
            <w:r>
              <w:rPr>
                <w:rFonts w:hint="default" w:ascii="Times New Roman" w:hAnsi="Times New Roman"/>
                <w:b w:val="false"/>
                <w:i w:val="false"/>
                <w:color w:val="000000"/>
                <w:sz w:val="24"/>
              </w:rPr>
              <w:t>425</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650</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540</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240/32</w:t>
            </w:r>
          </w:p>
          <w:p>
            <w:pPr>
              <w:spacing w:after="14"/>
              <w:ind w:left="14"/>
              <w:jc w:val="left"/>
            </w:pPr>
            <w:r>
              <w:rPr>
                <w:rFonts w:hint="default" w:ascii="Times New Roman" w:hAnsi="Times New Roman"/>
                <w:b w:val="false"/>
                <w:i w:val="false"/>
                <w:color w:val="000000"/>
                <w:sz w:val="24"/>
              </w:rPr>
              <w:t>240/39</w:t>
            </w:r>
          </w:p>
          <w:p>
            <w:pPr>
              <w:spacing w:after="0"/>
              <w:ind w:left="14"/>
              <w:jc w:val="left"/>
            </w:pPr>
            <w:r>
              <w:rPr>
                <w:rFonts w:hint="default" w:ascii="Times New Roman" w:hAnsi="Times New Roman"/>
                <w:b w:val="false"/>
                <w:i w:val="false"/>
                <w:color w:val="000000"/>
                <w:sz w:val="24"/>
              </w:rPr>
              <w:t>240/56</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605</w:t>
            </w:r>
          </w:p>
          <w:p>
            <w:pPr>
              <w:spacing w:after="14"/>
              <w:ind w:left="14"/>
              <w:jc w:val="left"/>
            </w:pPr>
            <w:r>
              <w:rPr>
                <w:rFonts w:hint="default" w:ascii="Times New Roman" w:hAnsi="Times New Roman"/>
                <w:b w:val="false"/>
                <w:i w:val="false"/>
                <w:color w:val="000000"/>
                <w:sz w:val="24"/>
              </w:rPr>
              <w:t>610</w:t>
            </w:r>
          </w:p>
          <w:p>
            <w:pPr>
              <w:spacing w:after="0"/>
              <w:ind w:left="14"/>
              <w:jc w:val="left"/>
            </w:pPr>
            <w:r>
              <w:rPr>
                <w:rFonts w:hint="default" w:ascii="Times New Roman" w:hAnsi="Times New Roman"/>
                <w:b w:val="false"/>
                <w:i w:val="false"/>
                <w:color w:val="000000"/>
                <w:sz w:val="24"/>
              </w:rPr>
              <w:t>610</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505</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760</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685</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300/39</w:t>
            </w:r>
          </w:p>
          <w:p>
            <w:pPr>
              <w:spacing w:after="14"/>
              <w:ind w:left="14"/>
              <w:jc w:val="left"/>
            </w:pPr>
            <w:r>
              <w:rPr>
                <w:rFonts w:hint="default" w:ascii="Times New Roman" w:hAnsi="Times New Roman"/>
                <w:b w:val="false"/>
                <w:i w:val="false"/>
                <w:color w:val="000000"/>
                <w:sz w:val="24"/>
              </w:rPr>
              <w:t>300/48</w:t>
            </w:r>
          </w:p>
          <w:p>
            <w:pPr>
              <w:spacing w:after="0"/>
              <w:ind w:left="14"/>
              <w:jc w:val="left"/>
            </w:pPr>
            <w:r>
              <w:rPr>
                <w:rFonts w:hint="default" w:ascii="Times New Roman" w:hAnsi="Times New Roman"/>
                <w:b w:val="false"/>
                <w:i w:val="false"/>
                <w:color w:val="000000"/>
                <w:sz w:val="24"/>
              </w:rPr>
              <w:t>300/66</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710</w:t>
            </w:r>
          </w:p>
          <w:p>
            <w:pPr>
              <w:spacing w:after="14"/>
              <w:ind w:left="14"/>
              <w:jc w:val="left"/>
            </w:pPr>
            <w:r>
              <w:rPr>
                <w:rFonts w:hint="default" w:ascii="Times New Roman" w:hAnsi="Times New Roman"/>
                <w:b w:val="false"/>
                <w:i w:val="false"/>
                <w:color w:val="000000"/>
                <w:sz w:val="24"/>
              </w:rPr>
              <w:t>690</w:t>
            </w:r>
          </w:p>
          <w:p>
            <w:pPr>
              <w:spacing w:after="0"/>
              <w:ind w:left="14"/>
              <w:jc w:val="left"/>
            </w:pPr>
            <w:r>
              <w:rPr>
                <w:rFonts w:hint="default" w:ascii="Times New Roman" w:hAnsi="Times New Roman"/>
                <w:b w:val="false"/>
                <w:i w:val="false"/>
                <w:color w:val="000000"/>
                <w:sz w:val="24"/>
              </w:rPr>
              <w:t>680</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600</w:t>
            </w:r>
          </w:p>
          <w:p>
            <w:pPr>
              <w:spacing w:after="14"/>
              <w:ind w:left="14"/>
              <w:jc w:val="left"/>
            </w:pPr>
            <w:r>
              <w:rPr>
                <w:rFonts w:hint="default" w:ascii="Times New Roman" w:hAnsi="Times New Roman"/>
                <w:b w:val="false"/>
                <w:i w:val="false"/>
                <w:color w:val="000000"/>
                <w:sz w:val="24"/>
              </w:rPr>
              <w:t>585</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880</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740</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24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330/27</w:t>
            </w:r>
          </w:p>
        </w:tc>
        <w:tc>
          <w:tcPr>
            <w:tcW w:w="21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730</w:t>
            </w:r>
          </w:p>
        </w:tc>
        <w:tc>
          <w:tcPr>
            <w:tcW w:w="2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400/22</w:t>
            </w:r>
          </w:p>
          <w:p>
            <w:pPr>
              <w:spacing w:after="14"/>
              <w:ind w:left="14"/>
              <w:jc w:val="left"/>
            </w:pPr>
            <w:r>
              <w:rPr>
                <w:rFonts w:hint="default" w:ascii="Times New Roman" w:hAnsi="Times New Roman"/>
                <w:b w:val="false"/>
                <w:i w:val="false"/>
                <w:color w:val="000000"/>
                <w:sz w:val="24"/>
              </w:rPr>
              <w:t>400/51</w:t>
            </w:r>
          </w:p>
          <w:p>
            <w:pPr>
              <w:spacing w:after="0"/>
              <w:ind w:left="14"/>
              <w:jc w:val="left"/>
            </w:pPr>
            <w:r>
              <w:rPr>
                <w:rFonts w:hint="default" w:ascii="Times New Roman" w:hAnsi="Times New Roman"/>
                <w:b w:val="false"/>
                <w:i w:val="false"/>
                <w:color w:val="000000"/>
                <w:sz w:val="24"/>
              </w:rPr>
              <w:t>400/64</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830</w:t>
            </w:r>
          </w:p>
          <w:p>
            <w:pPr>
              <w:spacing w:after="14"/>
              <w:ind w:left="14"/>
              <w:jc w:val="left"/>
            </w:pPr>
            <w:r>
              <w:rPr>
                <w:rFonts w:hint="default" w:ascii="Times New Roman" w:hAnsi="Times New Roman"/>
                <w:b w:val="false"/>
                <w:i w:val="false"/>
                <w:color w:val="000000"/>
                <w:sz w:val="24"/>
              </w:rPr>
              <w:t>825</w:t>
            </w:r>
          </w:p>
          <w:p>
            <w:pPr>
              <w:spacing w:after="0"/>
              <w:ind w:left="14"/>
              <w:jc w:val="left"/>
            </w:pPr>
            <w:r>
              <w:rPr>
                <w:rFonts w:hint="default" w:ascii="Times New Roman" w:hAnsi="Times New Roman"/>
                <w:b w:val="false"/>
                <w:i w:val="false"/>
                <w:color w:val="000000"/>
                <w:sz w:val="24"/>
              </w:rPr>
              <w:t>860</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713</w:t>
            </w:r>
          </w:p>
          <w:p>
            <w:pPr>
              <w:spacing w:after="14"/>
              <w:ind w:left="14"/>
              <w:jc w:val="left"/>
            </w:pPr>
            <w:r>
              <w:rPr>
                <w:rFonts w:hint="default" w:ascii="Times New Roman" w:hAnsi="Times New Roman"/>
                <w:b w:val="false"/>
                <w:i w:val="false"/>
                <w:color w:val="000000"/>
                <w:sz w:val="24"/>
              </w:rPr>
              <w:t>705</w:t>
            </w:r>
          </w:p>
          <w:p>
            <w:pPr>
              <w:spacing w:after="0"/>
              <w:ind w:left="14"/>
              <w:jc w:val="left"/>
            </w:pPr>
            <w:r>
              <w:rPr>
                <w:rFonts w:hint="default" w:ascii="Times New Roman" w:hAnsi="Times New Roman"/>
                <w:b w:val="false"/>
                <w:i w:val="false"/>
                <w:color w:val="000000"/>
                <w:sz w:val="24"/>
              </w:rPr>
              <w:t>–</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815</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895</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248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500/27</w:t>
            </w:r>
          </w:p>
          <w:p>
            <w:pPr>
              <w:spacing w:after="0"/>
              <w:ind w:left="14"/>
              <w:jc w:val="left"/>
            </w:pPr>
            <w:r>
              <w:rPr>
                <w:rFonts w:hint="default" w:ascii="Times New Roman" w:hAnsi="Times New Roman"/>
                <w:b w:val="false"/>
                <w:i w:val="false"/>
                <w:color w:val="000000"/>
                <w:sz w:val="24"/>
              </w:rPr>
              <w:t>500/64</w:t>
            </w:r>
          </w:p>
        </w:tc>
        <w:tc>
          <w:tcPr>
            <w:tcW w:w="21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960</w:t>
            </w:r>
          </w:p>
          <w:p>
            <w:pPr>
              <w:spacing w:after="0"/>
              <w:ind w:left="14"/>
              <w:jc w:val="left"/>
            </w:pPr>
            <w:r>
              <w:rPr>
                <w:rFonts w:hint="default" w:ascii="Times New Roman" w:hAnsi="Times New Roman"/>
                <w:b w:val="false"/>
                <w:i w:val="false"/>
                <w:color w:val="000000"/>
                <w:sz w:val="24"/>
              </w:rPr>
              <w:t>945</w:t>
            </w:r>
          </w:p>
        </w:tc>
        <w:tc>
          <w:tcPr>
            <w:tcW w:w="22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830</w:t>
            </w:r>
          </w:p>
          <w:p>
            <w:pPr>
              <w:spacing w:after="0"/>
              <w:ind w:left="14"/>
              <w:jc w:val="left"/>
            </w:pPr>
            <w:r>
              <w:rPr>
                <w:rFonts w:hint="default" w:ascii="Times New Roman" w:hAnsi="Times New Roman"/>
                <w:b w:val="false"/>
                <w:i w:val="false"/>
                <w:color w:val="000000"/>
                <w:sz w:val="24"/>
              </w:rPr>
              <w:t>815</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820</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c>
          <w:tcPr>
            <w:tcW w:w="24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600/72</w:t>
            </w:r>
          </w:p>
        </w:tc>
        <w:tc>
          <w:tcPr>
            <w:tcW w:w="21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2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920</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1100</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955</w:t>
            </w:r>
          </w:p>
        </w:tc>
      </w:tr>
      <w:tr>
        <w:trPr>
          <w:trHeight w:val="30" w:hRule="atLeast"/>
        </w:trPr>
        <w:tc>
          <w:tcPr>
            <w:tcW w:w="17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w:t>
            </w:r>
          </w:p>
        </w:tc>
        <w:tc>
          <w:tcPr>
            <w:tcW w:w="24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700/86</w:t>
            </w:r>
          </w:p>
        </w:tc>
        <w:tc>
          <w:tcPr>
            <w:tcW w:w="21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1180</w:t>
            </w:r>
          </w:p>
        </w:tc>
        <w:tc>
          <w:tcPr>
            <w:tcW w:w="2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1040</w:t>
            </w:r>
          </w:p>
        </w:tc>
        <w:tc>
          <w:tcPr>
            <w:tcW w:w="19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9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4908"/>
    <w:bookmarkStart w:name="637606364" w:id="4909"/>
    <w:p>
      <w:pPr>
        <w:spacing w:before="120" w:after="120" w:line="240"/>
        <w:ind w:left="0"/>
        <w:jc w:val="both"/>
      </w:pPr>
      <w:r>
        <w:rPr>
          <w:rFonts w:hint="default" w:ascii="Times New Roman" w:hAnsi="Times New Roman"/>
          <w:b/>
          <w:i w:val="false"/>
          <w:color w:val="000000"/>
          <w:sz w:val="24"/>
        </w:rPr>
        <w:t>Допустимый длительный ток для шин круглого и трубчатого сечений</w:t>
      </w:r>
    </w:p>
    <w:bookmarkEnd w:id="4909"/>
    <w:bookmarkStart w:name="637606365" w:id="491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30</w:t>
      </w:r>
    </w:p>
    <w:bookmarkEnd w:id="4910"/>
    <w:bookmarkStart w:name="637606366" w:id="4911"/>
    <w:tbl>
      <w:tblPr>
        <w:tblW w:w="18660" w:type="auto"/>
        <w:tblCellSpacing w:w="0" w:type="auto"/>
        <w:tblBorders>
          <w:top w:val="none"/>
          <w:left w:val="none"/>
          <w:bottom w:val="none"/>
          <w:right w:val="none"/>
          <w:insideH w:val="none"/>
          <w:insideV w:val="none"/>
        </w:tblBorders>
        <w:tblLayout/>
      </w:tblPr>
      <w:tblGrid>
        <w:gridCol w:w="399"/>
        <w:gridCol w:w="1454"/>
        <w:gridCol w:w="1613"/>
        <w:gridCol w:w="1549"/>
        <w:gridCol w:w="30"/>
        <w:gridCol w:w="1309"/>
        <w:gridCol w:w="24"/>
        <w:gridCol w:w="1085"/>
        <w:gridCol w:w="1086"/>
        <w:gridCol w:w="20"/>
        <w:gridCol w:w="1313"/>
        <w:gridCol w:w="19"/>
        <w:gridCol w:w="885"/>
        <w:gridCol w:w="885"/>
        <w:gridCol w:w="16"/>
        <w:gridCol w:w="1077"/>
        <w:gridCol w:w="19"/>
        <w:gridCol w:w="1235"/>
        <w:gridCol w:w="18"/>
        <w:gridCol w:w="1156"/>
        <w:gridCol w:w="86"/>
        <w:gridCol w:w="722"/>
      </w:tblGrid>
      <w:tr>
        <w:trPr>
          <w:trHeight w:val="30" w:hRule="atLeast"/>
        </w:trPr>
        <w:tc>
          <w:tcPr>
            <w:tcW w:w="39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Диаметр, мм</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Круглые шины</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Медные трубы</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Алюминиивые трубы</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Стальные трубы</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Внутрен ний и наружный диаметры,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0" w:type="auto"/>
            <w:gridSpan w:val="3"/>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Внутренний и наружный диаметры,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0" w:type="auto"/>
            <w:gridSpan w:val="3"/>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Условный проход,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Толщина стенки,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Наружный диаметр, мм</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Переменный ток, А</w:t>
            </w:r>
          </w:p>
        </w:tc>
      </w:tr>
      <w:tr>
        <w:trPr>
          <w:trHeight w:val="30" w:hRule="atLeast"/>
        </w:trPr>
        <w:tc>
          <w:tcPr>
            <w:tcW w:w="0" w:type="auto"/>
            <w:vMerge/>
            <w:tcBorders>
              <w:top w:val="nil"/>
              <w:left w:val="single" w:color="cfcfcf" w:sz="8"/>
              <w:bottom w:val="single" w:color="cfcfcf" w:sz="8"/>
              <w:right w:val="single" w:color="cfcfcf" w:sz="8"/>
            </w:tcBorders>
          </w:tcP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медные</w:t>
            </w:r>
          </w:p>
        </w:tc>
        <w:tc>
          <w:tcPr>
            <w:tcW w:w="1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алюминивые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раз реза</w:t>
            </w:r>
          </w:p>
        </w:tc>
        <w:tc>
          <w:tcPr>
            <w:tcW w:w="0" w:type="auto"/>
            <w:gridSpan w:val="2"/>
            <w:vMerge/>
            <w:tcBorders>
              <w:top w:val="nil"/>
              <w:left w:val="single" w:color="cfcfcf" w:sz="8"/>
              <w:bottom w:val="single" w:color="cfcfcf" w:sz="8"/>
              <w:right w:val="single" w:color="cfcfcf" w:sz="8"/>
            </w:tcBorders>
          </w:tcPr>
          <w:p/>
        </w:tc>
        <w:tc>
          <w:tcPr>
            <w:tcW w:w="0" w:type="auto"/>
            <w:gridSpan w:val="2"/>
            <w:vMerge/>
            <w:tcBorders>
              <w:top w:val="nil"/>
              <w:left w:val="single" w:color="cfcfcf" w:sz="8"/>
              <w:bottom w:val="single" w:color="cfcfcf" w:sz="8"/>
              <w:right w:val="single" w:color="cfcfcf" w:sz="8"/>
            </w:tcBorders>
          </w:tcPr>
          <w:p/>
        </w:tc>
        <w:tc>
          <w:tcPr>
            <w:tcW w:w="0" w:type="auto"/>
            <w:gridSpan w:val="3"/>
            <w:vMerge/>
            <w:tcBorders>
              <w:top w:val="nil"/>
              <w:left w:val="single" w:color="cfcfcf" w:sz="8"/>
              <w:bottom w:val="single" w:color="cfcfcf" w:sz="8"/>
              <w:right w:val="single" w:color="cfcfcf" w:sz="8"/>
            </w:tcBorders>
          </w:tcPr>
          <w:p/>
        </w:tc>
        <w:tc>
          <w:tcPr>
            <w:tcW w:w="0" w:type="auto"/>
            <w:gridSpan w:val="2"/>
            <w:vMerge/>
            <w:tcBorders>
              <w:top w:val="nil"/>
              <w:left w:val="single" w:color="cfcfcf" w:sz="8"/>
              <w:bottom w:val="single" w:color="cfcfcf" w:sz="8"/>
              <w:right w:val="single" w:color="cfcfcf" w:sz="8"/>
            </w:tcBorders>
          </w:tcPr>
          <w:p/>
        </w:tc>
        <w:tc>
          <w:tcPr>
            <w:tcW w:w="0" w:type="auto"/>
            <w:gridSpan w:val="3"/>
            <w:vMerge/>
            <w:tcBorders>
              <w:top w:val="nil"/>
              <w:left w:val="single" w:color="cfcfcf" w:sz="8"/>
              <w:bottom w:val="single" w:color="cfcfcf" w:sz="8"/>
              <w:right w:val="single" w:color="cfcfcf" w:sz="8"/>
            </w:tcBorders>
          </w:tcPr>
          <w:p/>
        </w:tc>
        <w:tc>
          <w:tcPr>
            <w:tcW w:w="0" w:type="auto"/>
            <w:gridSpan w:val="2"/>
            <w:vMerge/>
            <w:tcBorders>
              <w:top w:val="nil"/>
              <w:left w:val="single" w:color="cfcfcf" w:sz="8"/>
              <w:bottom w:val="single" w:color="cfcfcf" w:sz="8"/>
              <w:right w:val="single" w:color="cfcfcf" w:sz="8"/>
            </w:tcBorders>
          </w:tcPr>
          <w:p/>
        </w:tc>
        <w:tc>
          <w:tcPr>
            <w:tcW w:w="0" w:type="auto"/>
            <w:gridSpan w:val="2"/>
            <w:vMerge/>
            <w:tcBorders>
              <w:top w:val="nil"/>
              <w:left w:val="single" w:color="cfcfcf" w:sz="8"/>
              <w:bottom w:val="single" w:color="cfcfcf" w:sz="8"/>
              <w:right w:val="single" w:color="cfcfcf" w:sz="8"/>
            </w:tcBorders>
          </w:tcPr>
          <w:p/>
        </w:tc>
        <w:tc>
          <w:tcPr>
            <w:tcW w:w="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продольным разрезом</w:t>
            </w:r>
          </w:p>
        </w:tc>
      </w:tr>
      <w:tr>
        <w:trPr>
          <w:trHeight w:val="30" w:hRule="atLeast"/>
        </w:trPr>
        <w:tc>
          <w:tcPr>
            <w:tcW w:w="3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7</w:t>
            </w:r>
          </w:p>
          <w:p>
            <w:pPr>
              <w:spacing w:after="14"/>
              <w:ind w:left="14"/>
              <w:jc w:val="left"/>
            </w:pPr>
            <w:r>
              <w:rPr>
                <w:rFonts w:hint="default" w:ascii="Times New Roman" w:hAnsi="Times New Roman"/>
                <w:b w:val="false"/>
                <w:i w:val="false"/>
                <w:color w:val="000000"/>
                <w:sz w:val="24"/>
              </w:rPr>
              <w:t>8</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12</w:t>
            </w:r>
          </w:p>
          <w:p>
            <w:pPr>
              <w:spacing w:after="14"/>
              <w:ind w:left="14"/>
              <w:jc w:val="left"/>
            </w:pPr>
            <w:r>
              <w:rPr>
                <w:rFonts w:hint="default" w:ascii="Times New Roman" w:hAnsi="Times New Roman"/>
                <w:b w:val="false"/>
                <w:i w:val="false"/>
                <w:color w:val="000000"/>
                <w:sz w:val="24"/>
              </w:rPr>
              <w:t>14</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16</w:t>
            </w:r>
          </w:p>
          <w:p>
            <w:pPr>
              <w:spacing w:after="14"/>
              <w:ind w:left="14"/>
              <w:jc w:val="left"/>
            </w:pPr>
            <w:r>
              <w:rPr>
                <w:rFonts w:hint="default" w:ascii="Times New Roman" w:hAnsi="Times New Roman"/>
                <w:b w:val="false"/>
                <w:i w:val="false"/>
                <w:color w:val="000000"/>
                <w:sz w:val="24"/>
              </w:rPr>
              <w:t>18</w:t>
            </w:r>
          </w:p>
          <w:p>
            <w:pPr>
              <w:spacing w:after="14"/>
              <w:ind w:left="14"/>
              <w:jc w:val="left"/>
            </w:pPr>
            <w:r>
              <w:rPr>
                <w:rFonts w:hint="default" w:ascii="Times New Roman" w:hAnsi="Times New Roman"/>
                <w:b w:val="false"/>
                <w:i w:val="false"/>
                <w:color w:val="000000"/>
                <w:sz w:val="24"/>
              </w:rPr>
              <w:t>19</w:t>
            </w:r>
          </w:p>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21</w:t>
            </w:r>
          </w:p>
          <w:p>
            <w:pPr>
              <w:spacing w:after="14"/>
              <w:ind w:left="14"/>
              <w:jc w:val="left"/>
            </w:pPr>
            <w:r>
              <w:rPr>
                <w:rFonts w:hint="default" w:ascii="Times New Roman" w:hAnsi="Times New Roman"/>
                <w:b w:val="false"/>
                <w:i w:val="false"/>
                <w:color w:val="000000"/>
                <w:sz w:val="24"/>
              </w:rPr>
              <w:t>22</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27</w:t>
            </w:r>
          </w:p>
          <w:p>
            <w:pPr>
              <w:spacing w:after="0"/>
              <w:ind w:left="14"/>
              <w:jc w:val="left"/>
            </w:pPr>
            <w:r>
              <w:rPr>
                <w:rFonts w:hint="default" w:ascii="Times New Roman" w:hAnsi="Times New Roman"/>
                <w:b w:val="false"/>
                <w:i w:val="false"/>
                <w:color w:val="000000"/>
                <w:sz w:val="24"/>
              </w:rPr>
              <w:t>28</w:t>
            </w:r>
          </w:p>
        </w:tc>
        <w:tc>
          <w:tcPr>
            <w:tcW w:w="14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155/155</w:t>
            </w:r>
          </w:p>
          <w:p>
            <w:pPr>
              <w:spacing w:after="14"/>
              <w:ind w:left="14"/>
              <w:jc w:val="left"/>
            </w:pPr>
            <w:r>
              <w:rPr>
                <w:rFonts w:hint="default" w:ascii="Times New Roman" w:hAnsi="Times New Roman"/>
                <w:b w:val="false"/>
                <w:i w:val="false"/>
                <w:color w:val="000000"/>
                <w:sz w:val="24"/>
              </w:rPr>
              <w:t>195/195</w:t>
            </w:r>
          </w:p>
          <w:p>
            <w:pPr>
              <w:spacing w:after="14"/>
              <w:ind w:left="14"/>
              <w:jc w:val="left"/>
            </w:pPr>
            <w:r>
              <w:rPr>
                <w:rFonts w:hint="default" w:ascii="Times New Roman" w:hAnsi="Times New Roman"/>
                <w:b w:val="false"/>
                <w:i w:val="false"/>
                <w:color w:val="000000"/>
                <w:sz w:val="24"/>
              </w:rPr>
              <w:t>235/235</w:t>
            </w:r>
          </w:p>
          <w:p>
            <w:pPr>
              <w:spacing w:after="14"/>
              <w:ind w:left="14"/>
              <w:jc w:val="left"/>
            </w:pPr>
            <w:r>
              <w:rPr>
                <w:rFonts w:hint="default" w:ascii="Times New Roman" w:hAnsi="Times New Roman"/>
                <w:b w:val="false"/>
                <w:i w:val="false"/>
                <w:color w:val="000000"/>
                <w:sz w:val="24"/>
              </w:rPr>
              <w:t>320/320</w:t>
            </w:r>
          </w:p>
          <w:p>
            <w:pPr>
              <w:spacing w:after="14"/>
              <w:ind w:left="14"/>
              <w:jc w:val="left"/>
            </w:pPr>
            <w:r>
              <w:rPr>
                <w:rFonts w:hint="default" w:ascii="Times New Roman" w:hAnsi="Times New Roman"/>
                <w:b w:val="false"/>
                <w:i w:val="false"/>
                <w:color w:val="000000"/>
                <w:sz w:val="24"/>
              </w:rPr>
              <w:t>415/415</w:t>
            </w:r>
          </w:p>
          <w:p>
            <w:pPr>
              <w:spacing w:after="14"/>
              <w:ind w:left="14"/>
              <w:jc w:val="left"/>
            </w:pPr>
            <w:r>
              <w:rPr>
                <w:rFonts w:hint="default" w:ascii="Times New Roman" w:hAnsi="Times New Roman"/>
                <w:b w:val="false"/>
                <w:i w:val="false"/>
                <w:color w:val="000000"/>
                <w:sz w:val="24"/>
              </w:rPr>
              <w:t>505/505</w:t>
            </w:r>
          </w:p>
          <w:p>
            <w:pPr>
              <w:spacing w:after="14"/>
              <w:ind w:left="14"/>
              <w:jc w:val="left"/>
            </w:pPr>
            <w:r>
              <w:rPr>
                <w:rFonts w:hint="default" w:ascii="Times New Roman" w:hAnsi="Times New Roman"/>
                <w:b w:val="false"/>
                <w:i w:val="false"/>
                <w:color w:val="000000"/>
                <w:sz w:val="24"/>
              </w:rPr>
              <w:t>565/565</w:t>
            </w:r>
          </w:p>
          <w:p>
            <w:pPr>
              <w:spacing w:after="14"/>
              <w:ind w:left="14"/>
              <w:jc w:val="left"/>
            </w:pPr>
            <w:r>
              <w:rPr>
                <w:rFonts w:hint="default" w:ascii="Times New Roman" w:hAnsi="Times New Roman"/>
                <w:b w:val="false"/>
                <w:i w:val="false"/>
                <w:color w:val="000000"/>
                <w:sz w:val="24"/>
              </w:rPr>
              <w:t>610/615</w:t>
            </w:r>
          </w:p>
          <w:p>
            <w:pPr>
              <w:spacing w:after="14"/>
              <w:ind w:left="14"/>
              <w:jc w:val="left"/>
            </w:pPr>
            <w:r>
              <w:rPr>
                <w:rFonts w:hint="default" w:ascii="Times New Roman" w:hAnsi="Times New Roman"/>
                <w:b w:val="false"/>
                <w:i w:val="false"/>
                <w:color w:val="000000"/>
                <w:sz w:val="24"/>
              </w:rPr>
              <w:t>720/725</w:t>
            </w:r>
          </w:p>
          <w:p>
            <w:pPr>
              <w:spacing w:after="14"/>
              <w:ind w:left="14"/>
              <w:jc w:val="left"/>
            </w:pPr>
            <w:r>
              <w:rPr>
                <w:rFonts w:hint="default" w:ascii="Times New Roman" w:hAnsi="Times New Roman"/>
                <w:b w:val="false"/>
                <w:i w:val="false"/>
                <w:color w:val="000000"/>
                <w:sz w:val="24"/>
              </w:rPr>
              <w:t>780/785</w:t>
            </w:r>
          </w:p>
          <w:p>
            <w:pPr>
              <w:spacing w:after="14"/>
              <w:ind w:left="14"/>
              <w:jc w:val="left"/>
            </w:pPr>
            <w:r>
              <w:rPr>
                <w:rFonts w:hint="default" w:ascii="Times New Roman" w:hAnsi="Times New Roman"/>
                <w:b w:val="false"/>
                <w:i w:val="false"/>
                <w:color w:val="000000"/>
                <w:sz w:val="24"/>
              </w:rPr>
              <w:t>835/840</w:t>
            </w:r>
          </w:p>
          <w:p>
            <w:pPr>
              <w:spacing w:after="14"/>
              <w:ind w:left="14"/>
              <w:jc w:val="left"/>
            </w:pPr>
            <w:r>
              <w:rPr>
                <w:rFonts w:hint="default" w:ascii="Times New Roman" w:hAnsi="Times New Roman"/>
                <w:b w:val="false"/>
                <w:i w:val="false"/>
                <w:color w:val="000000"/>
                <w:sz w:val="24"/>
              </w:rPr>
              <w:t>900/905</w:t>
            </w:r>
          </w:p>
          <w:p>
            <w:pPr>
              <w:spacing w:after="14"/>
              <w:ind w:left="14"/>
              <w:jc w:val="left"/>
            </w:pPr>
            <w:r>
              <w:rPr>
                <w:rFonts w:hint="default" w:ascii="Times New Roman" w:hAnsi="Times New Roman"/>
                <w:b w:val="false"/>
                <w:i w:val="false"/>
                <w:color w:val="000000"/>
                <w:sz w:val="24"/>
              </w:rPr>
              <w:t>955/965</w:t>
            </w:r>
          </w:p>
          <w:p>
            <w:pPr>
              <w:spacing w:after="14"/>
              <w:ind w:left="14"/>
              <w:jc w:val="left"/>
            </w:pPr>
            <w:r>
              <w:rPr>
                <w:rFonts w:hint="default" w:ascii="Times New Roman" w:hAnsi="Times New Roman"/>
                <w:b w:val="false"/>
                <w:i w:val="false"/>
                <w:color w:val="000000"/>
                <w:sz w:val="24"/>
              </w:rPr>
              <w:t>1140/1165</w:t>
            </w:r>
          </w:p>
          <w:p>
            <w:pPr>
              <w:spacing w:after="14"/>
              <w:ind w:left="14"/>
              <w:jc w:val="left"/>
            </w:pPr>
            <w:r>
              <w:rPr>
                <w:rFonts w:hint="default" w:ascii="Times New Roman" w:hAnsi="Times New Roman"/>
                <w:b w:val="false"/>
                <w:i w:val="false"/>
                <w:color w:val="000000"/>
                <w:sz w:val="24"/>
              </w:rPr>
              <w:t>1270/1290</w:t>
            </w:r>
          </w:p>
          <w:p>
            <w:pPr>
              <w:spacing w:after="0"/>
              <w:ind w:left="14"/>
              <w:jc w:val="left"/>
            </w:pPr>
            <w:r>
              <w:rPr>
                <w:rFonts w:hint="default" w:ascii="Times New Roman" w:hAnsi="Times New Roman"/>
                <w:b w:val="false"/>
                <w:i w:val="false"/>
                <w:color w:val="000000"/>
                <w:sz w:val="24"/>
              </w:rPr>
              <w:t>1325/1360</w:t>
            </w:r>
          </w:p>
        </w:tc>
        <w:tc>
          <w:tcPr>
            <w:tcW w:w="161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120/120</w:t>
            </w:r>
          </w:p>
          <w:p>
            <w:pPr>
              <w:spacing w:after="14"/>
              <w:ind w:left="14"/>
              <w:jc w:val="left"/>
            </w:pPr>
            <w:r>
              <w:rPr>
                <w:rFonts w:hint="default" w:ascii="Times New Roman" w:hAnsi="Times New Roman"/>
                <w:b w:val="false"/>
                <w:i w:val="false"/>
                <w:color w:val="000000"/>
                <w:sz w:val="24"/>
              </w:rPr>
              <w:t>150/150</w:t>
            </w:r>
          </w:p>
          <w:p>
            <w:pPr>
              <w:spacing w:after="14"/>
              <w:ind w:left="14"/>
              <w:jc w:val="left"/>
            </w:pPr>
            <w:r>
              <w:rPr>
                <w:rFonts w:hint="default" w:ascii="Times New Roman" w:hAnsi="Times New Roman"/>
                <w:b w:val="false"/>
                <w:i w:val="false"/>
                <w:color w:val="000000"/>
                <w:sz w:val="24"/>
              </w:rPr>
              <w:t>180/180</w:t>
            </w:r>
          </w:p>
          <w:p>
            <w:pPr>
              <w:spacing w:after="14"/>
              <w:ind w:left="14"/>
              <w:jc w:val="left"/>
            </w:pPr>
            <w:r>
              <w:rPr>
                <w:rFonts w:hint="default" w:ascii="Times New Roman" w:hAnsi="Times New Roman"/>
                <w:b w:val="false"/>
                <w:i w:val="false"/>
                <w:color w:val="000000"/>
                <w:sz w:val="24"/>
              </w:rPr>
              <w:t>245/245</w:t>
            </w:r>
          </w:p>
          <w:p>
            <w:pPr>
              <w:spacing w:after="14"/>
              <w:ind w:left="14"/>
              <w:jc w:val="left"/>
            </w:pPr>
            <w:r>
              <w:rPr>
                <w:rFonts w:hint="default" w:ascii="Times New Roman" w:hAnsi="Times New Roman"/>
                <w:b w:val="false"/>
                <w:i w:val="false"/>
                <w:color w:val="000000"/>
                <w:sz w:val="24"/>
              </w:rPr>
              <w:t>320/320</w:t>
            </w:r>
          </w:p>
          <w:p>
            <w:pPr>
              <w:spacing w:after="14"/>
              <w:ind w:left="14"/>
              <w:jc w:val="left"/>
            </w:pPr>
            <w:r>
              <w:rPr>
                <w:rFonts w:hint="default" w:ascii="Times New Roman" w:hAnsi="Times New Roman"/>
                <w:b w:val="false"/>
                <w:i w:val="false"/>
                <w:color w:val="000000"/>
                <w:sz w:val="24"/>
              </w:rPr>
              <w:t>390/390</w:t>
            </w:r>
          </w:p>
          <w:p>
            <w:pPr>
              <w:spacing w:after="14"/>
              <w:ind w:left="14"/>
              <w:jc w:val="left"/>
            </w:pPr>
            <w:r>
              <w:rPr>
                <w:rFonts w:hint="default" w:ascii="Times New Roman" w:hAnsi="Times New Roman"/>
                <w:b w:val="false"/>
                <w:i w:val="false"/>
                <w:color w:val="000000"/>
                <w:sz w:val="24"/>
              </w:rPr>
              <w:t>435/435</w:t>
            </w:r>
          </w:p>
          <w:p>
            <w:pPr>
              <w:spacing w:after="14"/>
              <w:ind w:left="14"/>
              <w:jc w:val="left"/>
            </w:pPr>
            <w:r>
              <w:rPr>
                <w:rFonts w:hint="default" w:ascii="Times New Roman" w:hAnsi="Times New Roman"/>
                <w:b w:val="false"/>
                <w:i w:val="false"/>
                <w:color w:val="000000"/>
                <w:sz w:val="24"/>
              </w:rPr>
              <w:t>475/475</w:t>
            </w:r>
          </w:p>
          <w:p>
            <w:pPr>
              <w:spacing w:after="14"/>
              <w:ind w:left="14"/>
              <w:jc w:val="left"/>
            </w:pPr>
            <w:r>
              <w:rPr>
                <w:rFonts w:hint="default" w:ascii="Times New Roman" w:hAnsi="Times New Roman"/>
                <w:b w:val="false"/>
                <w:i w:val="false"/>
                <w:color w:val="000000"/>
                <w:sz w:val="24"/>
              </w:rPr>
              <w:t>560/560</w:t>
            </w:r>
          </w:p>
          <w:p>
            <w:pPr>
              <w:spacing w:after="14"/>
              <w:ind w:left="14"/>
              <w:jc w:val="left"/>
            </w:pPr>
            <w:r>
              <w:rPr>
                <w:rFonts w:hint="default" w:ascii="Times New Roman" w:hAnsi="Times New Roman"/>
                <w:b w:val="false"/>
                <w:i w:val="false"/>
                <w:color w:val="000000"/>
                <w:sz w:val="24"/>
              </w:rPr>
              <w:t>605/610</w:t>
            </w:r>
          </w:p>
          <w:p>
            <w:pPr>
              <w:spacing w:after="14"/>
              <w:ind w:left="14"/>
              <w:jc w:val="left"/>
            </w:pPr>
            <w:r>
              <w:rPr>
                <w:rFonts w:hint="default" w:ascii="Times New Roman" w:hAnsi="Times New Roman"/>
                <w:b w:val="false"/>
                <w:i w:val="false"/>
                <w:color w:val="000000"/>
                <w:sz w:val="24"/>
              </w:rPr>
              <w:t>650/655</w:t>
            </w:r>
          </w:p>
          <w:p>
            <w:pPr>
              <w:spacing w:after="14"/>
              <w:ind w:left="14"/>
              <w:jc w:val="left"/>
            </w:pPr>
            <w:r>
              <w:rPr>
                <w:rFonts w:hint="default" w:ascii="Times New Roman" w:hAnsi="Times New Roman"/>
                <w:b w:val="false"/>
                <w:i w:val="false"/>
                <w:color w:val="000000"/>
                <w:sz w:val="24"/>
              </w:rPr>
              <w:t>695/700</w:t>
            </w:r>
          </w:p>
          <w:p>
            <w:pPr>
              <w:spacing w:after="14"/>
              <w:ind w:left="14"/>
              <w:jc w:val="left"/>
            </w:pPr>
            <w:r>
              <w:rPr>
                <w:rFonts w:hint="default" w:ascii="Times New Roman" w:hAnsi="Times New Roman"/>
                <w:b w:val="false"/>
                <w:i w:val="false"/>
                <w:color w:val="000000"/>
                <w:sz w:val="24"/>
              </w:rPr>
              <w:t>740/745</w:t>
            </w:r>
          </w:p>
          <w:p>
            <w:pPr>
              <w:spacing w:after="14"/>
              <w:ind w:left="14"/>
              <w:jc w:val="left"/>
            </w:pPr>
            <w:r>
              <w:rPr>
                <w:rFonts w:hint="default" w:ascii="Times New Roman" w:hAnsi="Times New Roman"/>
                <w:b w:val="false"/>
                <w:i w:val="false"/>
                <w:color w:val="000000"/>
                <w:sz w:val="24"/>
              </w:rPr>
              <w:t>885/900</w:t>
            </w:r>
          </w:p>
          <w:p>
            <w:pPr>
              <w:spacing w:after="14"/>
              <w:ind w:left="14"/>
              <w:jc w:val="left"/>
            </w:pPr>
            <w:r>
              <w:rPr>
                <w:rFonts w:hint="default" w:ascii="Times New Roman" w:hAnsi="Times New Roman"/>
                <w:b w:val="false"/>
                <w:i w:val="false"/>
                <w:color w:val="000000"/>
                <w:sz w:val="24"/>
              </w:rPr>
              <w:t>980/1000</w:t>
            </w:r>
          </w:p>
          <w:p>
            <w:pPr>
              <w:spacing w:after="0"/>
              <w:ind w:left="14"/>
              <w:jc w:val="left"/>
            </w:pPr>
            <w:r>
              <w:rPr>
                <w:rFonts w:hint="default" w:ascii="Times New Roman" w:hAnsi="Times New Roman"/>
                <w:b w:val="false"/>
                <w:i w:val="false"/>
                <w:color w:val="000000"/>
                <w:sz w:val="24"/>
              </w:rPr>
              <w:t>1025/1050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12/15</w:t>
            </w:r>
          </w:p>
          <w:p>
            <w:pPr>
              <w:spacing w:after="14"/>
              <w:ind w:left="14"/>
              <w:jc w:val="left"/>
            </w:pPr>
            <w:r>
              <w:rPr>
                <w:rFonts w:hint="default" w:ascii="Times New Roman" w:hAnsi="Times New Roman"/>
                <w:b w:val="false"/>
                <w:i w:val="false"/>
                <w:color w:val="000000"/>
                <w:sz w:val="24"/>
              </w:rPr>
              <w:t>14/18</w:t>
            </w:r>
          </w:p>
          <w:p>
            <w:pPr>
              <w:spacing w:after="14"/>
              <w:ind w:left="14"/>
              <w:jc w:val="left"/>
            </w:pPr>
            <w:r>
              <w:rPr>
                <w:rFonts w:hint="default" w:ascii="Times New Roman" w:hAnsi="Times New Roman"/>
                <w:b w:val="false"/>
                <w:i w:val="false"/>
                <w:color w:val="000000"/>
                <w:sz w:val="24"/>
              </w:rPr>
              <w:t>16/20</w:t>
            </w:r>
          </w:p>
          <w:p>
            <w:pPr>
              <w:spacing w:after="14"/>
              <w:ind w:left="14"/>
              <w:jc w:val="left"/>
            </w:pPr>
            <w:r>
              <w:rPr>
                <w:rFonts w:hint="default" w:ascii="Times New Roman" w:hAnsi="Times New Roman"/>
                <w:b w:val="false"/>
                <w:i w:val="false"/>
                <w:color w:val="000000"/>
                <w:sz w:val="24"/>
              </w:rPr>
              <w:t>18/22</w:t>
            </w:r>
          </w:p>
          <w:p>
            <w:pPr>
              <w:spacing w:after="14"/>
              <w:ind w:left="14"/>
              <w:jc w:val="left"/>
            </w:pPr>
            <w:r>
              <w:rPr>
                <w:rFonts w:hint="default" w:ascii="Times New Roman" w:hAnsi="Times New Roman"/>
                <w:b w:val="false"/>
                <w:i w:val="false"/>
                <w:color w:val="000000"/>
                <w:sz w:val="24"/>
              </w:rPr>
              <w:t>20/24</w:t>
            </w:r>
          </w:p>
          <w:p>
            <w:pPr>
              <w:spacing w:after="14"/>
              <w:ind w:left="14"/>
              <w:jc w:val="left"/>
            </w:pPr>
            <w:r>
              <w:rPr>
                <w:rFonts w:hint="default" w:ascii="Times New Roman" w:hAnsi="Times New Roman"/>
                <w:b w:val="false"/>
                <w:i w:val="false"/>
                <w:color w:val="000000"/>
                <w:sz w:val="24"/>
              </w:rPr>
              <w:t>22/26</w:t>
            </w:r>
          </w:p>
          <w:p>
            <w:pPr>
              <w:spacing w:after="14"/>
              <w:ind w:left="14"/>
              <w:jc w:val="left"/>
            </w:pPr>
            <w:r>
              <w:rPr>
                <w:rFonts w:hint="default" w:ascii="Times New Roman" w:hAnsi="Times New Roman"/>
                <w:b w:val="false"/>
                <w:i w:val="false"/>
                <w:color w:val="000000"/>
                <w:sz w:val="24"/>
              </w:rPr>
              <w:t>25/30</w:t>
            </w:r>
          </w:p>
          <w:p>
            <w:pPr>
              <w:spacing w:after="14"/>
              <w:ind w:left="14"/>
              <w:jc w:val="left"/>
            </w:pPr>
            <w:r>
              <w:rPr>
                <w:rFonts w:hint="default" w:ascii="Times New Roman" w:hAnsi="Times New Roman"/>
                <w:b w:val="false"/>
                <w:i w:val="false"/>
                <w:color w:val="000000"/>
                <w:sz w:val="24"/>
              </w:rPr>
              <w:t>29/34</w:t>
            </w:r>
          </w:p>
          <w:p>
            <w:pPr>
              <w:spacing w:after="14"/>
              <w:ind w:left="14"/>
              <w:jc w:val="left"/>
            </w:pPr>
            <w:r>
              <w:rPr>
                <w:rFonts w:hint="default" w:ascii="Times New Roman" w:hAnsi="Times New Roman"/>
                <w:b w:val="false"/>
                <w:i w:val="false"/>
                <w:color w:val="000000"/>
                <w:sz w:val="24"/>
              </w:rPr>
              <w:t>35/40</w:t>
            </w:r>
          </w:p>
          <w:p>
            <w:pPr>
              <w:spacing w:after="14"/>
              <w:ind w:left="14"/>
              <w:jc w:val="left"/>
            </w:pPr>
            <w:r>
              <w:rPr>
                <w:rFonts w:hint="default" w:ascii="Times New Roman" w:hAnsi="Times New Roman"/>
                <w:b w:val="false"/>
                <w:i w:val="false"/>
                <w:color w:val="000000"/>
                <w:sz w:val="24"/>
              </w:rPr>
              <w:t>40/45</w:t>
            </w:r>
          </w:p>
          <w:p>
            <w:pPr>
              <w:spacing w:after="14"/>
              <w:ind w:left="14"/>
              <w:jc w:val="left"/>
            </w:pPr>
            <w:r>
              <w:rPr>
                <w:rFonts w:hint="default" w:ascii="Times New Roman" w:hAnsi="Times New Roman"/>
                <w:b w:val="false"/>
                <w:i w:val="false"/>
                <w:color w:val="000000"/>
                <w:sz w:val="24"/>
              </w:rPr>
              <w:t>45/50</w:t>
            </w:r>
          </w:p>
          <w:p>
            <w:pPr>
              <w:spacing w:after="14"/>
              <w:ind w:left="14"/>
              <w:jc w:val="left"/>
            </w:pPr>
            <w:r>
              <w:rPr>
                <w:rFonts w:hint="default" w:ascii="Times New Roman" w:hAnsi="Times New Roman"/>
                <w:b w:val="false"/>
                <w:i w:val="false"/>
                <w:color w:val="000000"/>
                <w:sz w:val="24"/>
              </w:rPr>
              <w:t>49/55</w:t>
            </w:r>
          </w:p>
          <w:p>
            <w:pPr>
              <w:spacing w:after="14"/>
              <w:ind w:left="14"/>
              <w:jc w:val="left"/>
            </w:pPr>
            <w:r>
              <w:rPr>
                <w:rFonts w:hint="default" w:ascii="Times New Roman" w:hAnsi="Times New Roman"/>
                <w:b w:val="false"/>
                <w:i w:val="false"/>
                <w:color w:val="000000"/>
                <w:sz w:val="24"/>
              </w:rPr>
              <w:t>53/60</w:t>
            </w:r>
          </w:p>
          <w:p>
            <w:pPr>
              <w:spacing w:after="14"/>
              <w:ind w:left="14"/>
              <w:jc w:val="left"/>
            </w:pPr>
            <w:r>
              <w:rPr>
                <w:rFonts w:hint="default" w:ascii="Times New Roman" w:hAnsi="Times New Roman"/>
                <w:b w:val="false"/>
                <w:i w:val="false"/>
                <w:color w:val="000000"/>
                <w:sz w:val="24"/>
              </w:rPr>
              <w:t>62/70</w:t>
            </w:r>
          </w:p>
          <w:p>
            <w:pPr>
              <w:spacing w:after="14"/>
              <w:ind w:left="14"/>
              <w:jc w:val="left"/>
            </w:pPr>
            <w:r>
              <w:rPr>
                <w:rFonts w:hint="default" w:ascii="Times New Roman" w:hAnsi="Times New Roman"/>
                <w:b w:val="false"/>
                <w:i w:val="false"/>
                <w:color w:val="000000"/>
                <w:sz w:val="24"/>
              </w:rPr>
              <w:t>72/80</w:t>
            </w:r>
          </w:p>
          <w:p>
            <w:pPr>
              <w:spacing w:after="0"/>
              <w:ind w:left="14"/>
              <w:jc w:val="left"/>
            </w:pPr>
            <w:r>
              <w:rPr>
                <w:rFonts w:hint="default" w:ascii="Times New Roman" w:hAnsi="Times New Roman"/>
                <w:b w:val="false"/>
                <w:i w:val="false"/>
                <w:color w:val="000000"/>
                <w:sz w:val="24"/>
              </w:rPr>
              <w:t>75/85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340</w:t>
            </w:r>
          </w:p>
          <w:p>
            <w:pPr>
              <w:spacing w:after="14"/>
              <w:ind w:left="14"/>
              <w:jc w:val="left"/>
            </w:pPr>
            <w:r>
              <w:rPr>
                <w:rFonts w:hint="default" w:ascii="Times New Roman" w:hAnsi="Times New Roman"/>
                <w:b w:val="false"/>
                <w:i w:val="false"/>
                <w:color w:val="000000"/>
                <w:sz w:val="24"/>
              </w:rPr>
              <w:t>460</w:t>
            </w:r>
          </w:p>
          <w:p>
            <w:pPr>
              <w:spacing w:after="14"/>
              <w:ind w:left="14"/>
              <w:jc w:val="left"/>
            </w:pPr>
            <w:r>
              <w:rPr>
                <w:rFonts w:hint="default" w:ascii="Times New Roman" w:hAnsi="Times New Roman"/>
                <w:b w:val="false"/>
                <w:i w:val="false"/>
                <w:color w:val="000000"/>
                <w:sz w:val="24"/>
              </w:rPr>
              <w:t>505</w:t>
            </w:r>
          </w:p>
          <w:p>
            <w:pPr>
              <w:spacing w:after="14"/>
              <w:ind w:left="14"/>
              <w:jc w:val="left"/>
            </w:pPr>
            <w:r>
              <w:rPr>
                <w:rFonts w:hint="default" w:ascii="Times New Roman" w:hAnsi="Times New Roman"/>
                <w:b w:val="false"/>
                <w:i w:val="false"/>
                <w:color w:val="000000"/>
                <w:sz w:val="24"/>
              </w:rPr>
              <w:t>555</w:t>
            </w:r>
          </w:p>
          <w:p>
            <w:pPr>
              <w:spacing w:after="14"/>
              <w:ind w:left="14"/>
              <w:jc w:val="left"/>
            </w:pPr>
            <w:r>
              <w:rPr>
                <w:rFonts w:hint="default" w:ascii="Times New Roman" w:hAnsi="Times New Roman"/>
                <w:b w:val="false"/>
                <w:i w:val="false"/>
                <w:color w:val="000000"/>
                <w:sz w:val="24"/>
              </w:rPr>
              <w:t>600</w:t>
            </w:r>
          </w:p>
          <w:p>
            <w:pPr>
              <w:spacing w:after="14"/>
              <w:ind w:left="14"/>
              <w:jc w:val="left"/>
            </w:pPr>
            <w:r>
              <w:rPr>
                <w:rFonts w:hint="default" w:ascii="Times New Roman" w:hAnsi="Times New Roman"/>
                <w:b w:val="false"/>
                <w:i w:val="false"/>
                <w:color w:val="000000"/>
                <w:sz w:val="24"/>
              </w:rPr>
              <w:t>650</w:t>
            </w:r>
          </w:p>
          <w:p>
            <w:pPr>
              <w:spacing w:after="14"/>
              <w:ind w:left="14"/>
              <w:jc w:val="left"/>
            </w:pPr>
            <w:r>
              <w:rPr>
                <w:rFonts w:hint="default" w:ascii="Times New Roman" w:hAnsi="Times New Roman"/>
                <w:b w:val="false"/>
                <w:i w:val="false"/>
                <w:color w:val="000000"/>
                <w:sz w:val="24"/>
              </w:rPr>
              <w:t>830</w:t>
            </w:r>
          </w:p>
          <w:p>
            <w:pPr>
              <w:spacing w:after="14"/>
              <w:ind w:left="14"/>
              <w:jc w:val="left"/>
            </w:pPr>
            <w:r>
              <w:rPr>
                <w:rFonts w:hint="default" w:ascii="Times New Roman" w:hAnsi="Times New Roman"/>
                <w:b w:val="false"/>
                <w:i w:val="false"/>
                <w:color w:val="000000"/>
                <w:sz w:val="24"/>
              </w:rPr>
              <w:t>925</w:t>
            </w:r>
          </w:p>
          <w:p>
            <w:pPr>
              <w:spacing w:after="14"/>
              <w:ind w:left="14"/>
              <w:jc w:val="left"/>
            </w:pPr>
            <w:r>
              <w:rPr>
                <w:rFonts w:hint="default" w:ascii="Times New Roman" w:hAnsi="Times New Roman"/>
                <w:b w:val="false"/>
                <w:i w:val="false"/>
                <w:color w:val="000000"/>
                <w:sz w:val="24"/>
              </w:rPr>
              <w:t>1100</w:t>
            </w:r>
          </w:p>
          <w:p>
            <w:pPr>
              <w:spacing w:after="14"/>
              <w:ind w:left="14"/>
              <w:jc w:val="left"/>
            </w:pPr>
            <w:r>
              <w:rPr>
                <w:rFonts w:hint="default" w:ascii="Times New Roman" w:hAnsi="Times New Roman"/>
                <w:b w:val="false"/>
                <w:i w:val="false"/>
                <w:color w:val="000000"/>
                <w:sz w:val="24"/>
              </w:rPr>
              <w:t>1200</w:t>
            </w:r>
          </w:p>
          <w:p>
            <w:pPr>
              <w:spacing w:after="14"/>
              <w:ind w:left="14"/>
              <w:jc w:val="left"/>
            </w:pPr>
            <w:r>
              <w:rPr>
                <w:rFonts w:hint="default" w:ascii="Times New Roman" w:hAnsi="Times New Roman"/>
                <w:b w:val="false"/>
                <w:i w:val="false"/>
                <w:color w:val="000000"/>
                <w:sz w:val="24"/>
              </w:rPr>
              <w:t>1330</w:t>
            </w:r>
          </w:p>
          <w:p>
            <w:pPr>
              <w:spacing w:after="14"/>
              <w:ind w:left="14"/>
              <w:jc w:val="left"/>
            </w:pPr>
            <w:r>
              <w:rPr>
                <w:rFonts w:hint="default" w:ascii="Times New Roman" w:hAnsi="Times New Roman"/>
                <w:b w:val="false"/>
                <w:i w:val="false"/>
                <w:color w:val="000000"/>
                <w:sz w:val="24"/>
              </w:rPr>
              <w:t>1580</w:t>
            </w:r>
          </w:p>
          <w:p>
            <w:pPr>
              <w:spacing w:after="14"/>
              <w:ind w:left="14"/>
              <w:jc w:val="left"/>
            </w:pPr>
            <w:r>
              <w:rPr>
                <w:rFonts w:hint="default" w:ascii="Times New Roman" w:hAnsi="Times New Roman"/>
                <w:b w:val="false"/>
                <w:i w:val="false"/>
                <w:color w:val="000000"/>
                <w:sz w:val="24"/>
              </w:rPr>
              <w:t>1860</w:t>
            </w:r>
          </w:p>
          <w:p>
            <w:pPr>
              <w:spacing w:after="14"/>
              <w:ind w:left="14"/>
              <w:jc w:val="left"/>
            </w:pPr>
            <w:r>
              <w:rPr>
                <w:rFonts w:hint="default" w:ascii="Times New Roman" w:hAnsi="Times New Roman"/>
                <w:b w:val="false"/>
                <w:i w:val="false"/>
                <w:color w:val="000000"/>
                <w:sz w:val="24"/>
              </w:rPr>
              <w:t>2295</w:t>
            </w:r>
          </w:p>
          <w:p>
            <w:pPr>
              <w:spacing w:after="14"/>
              <w:ind w:left="14"/>
              <w:jc w:val="left"/>
            </w:pPr>
            <w:r>
              <w:rPr>
                <w:rFonts w:hint="default" w:ascii="Times New Roman" w:hAnsi="Times New Roman"/>
                <w:b w:val="false"/>
                <w:i w:val="false"/>
                <w:color w:val="000000"/>
                <w:sz w:val="24"/>
              </w:rPr>
              <w:t>2610</w:t>
            </w:r>
          </w:p>
          <w:p>
            <w:pPr>
              <w:spacing w:after="0"/>
              <w:ind w:left="14"/>
              <w:jc w:val="left"/>
            </w:pPr>
            <w:r>
              <w:rPr>
                <w:rFonts w:hint="default" w:ascii="Times New Roman" w:hAnsi="Times New Roman"/>
                <w:b w:val="false"/>
                <w:i w:val="false"/>
                <w:color w:val="000000"/>
                <w:sz w:val="24"/>
              </w:rPr>
              <w:t>3070</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13/16</w:t>
            </w:r>
          </w:p>
          <w:p>
            <w:pPr>
              <w:spacing w:after="14"/>
              <w:ind w:left="14"/>
              <w:jc w:val="left"/>
            </w:pPr>
            <w:r>
              <w:rPr>
                <w:rFonts w:hint="default" w:ascii="Times New Roman" w:hAnsi="Times New Roman"/>
                <w:b w:val="false"/>
                <w:i w:val="false"/>
                <w:color w:val="000000"/>
                <w:sz w:val="24"/>
              </w:rPr>
              <w:t>17/20</w:t>
            </w:r>
          </w:p>
          <w:p>
            <w:pPr>
              <w:spacing w:after="14"/>
              <w:ind w:left="14"/>
              <w:jc w:val="left"/>
            </w:pPr>
            <w:r>
              <w:rPr>
                <w:rFonts w:hint="default" w:ascii="Times New Roman" w:hAnsi="Times New Roman"/>
                <w:b w:val="false"/>
                <w:i w:val="false"/>
                <w:color w:val="000000"/>
                <w:sz w:val="24"/>
              </w:rPr>
              <w:t>18/22</w:t>
            </w:r>
          </w:p>
          <w:p>
            <w:pPr>
              <w:spacing w:after="14"/>
              <w:ind w:left="14"/>
              <w:jc w:val="left"/>
            </w:pPr>
            <w:r>
              <w:rPr>
                <w:rFonts w:hint="default" w:ascii="Times New Roman" w:hAnsi="Times New Roman"/>
                <w:b w:val="false"/>
                <w:i w:val="false"/>
                <w:color w:val="000000"/>
                <w:sz w:val="24"/>
              </w:rPr>
              <w:t>27/30</w:t>
            </w:r>
          </w:p>
          <w:p>
            <w:pPr>
              <w:spacing w:after="14"/>
              <w:ind w:left="14"/>
              <w:jc w:val="left"/>
            </w:pPr>
            <w:r>
              <w:rPr>
                <w:rFonts w:hint="default" w:ascii="Times New Roman" w:hAnsi="Times New Roman"/>
                <w:b w:val="false"/>
                <w:i w:val="false"/>
                <w:color w:val="000000"/>
                <w:sz w:val="24"/>
              </w:rPr>
              <w:t>26/30</w:t>
            </w:r>
          </w:p>
          <w:p>
            <w:pPr>
              <w:spacing w:after="14"/>
              <w:ind w:left="14"/>
              <w:jc w:val="left"/>
            </w:pPr>
            <w:r>
              <w:rPr>
                <w:rFonts w:hint="default" w:ascii="Times New Roman" w:hAnsi="Times New Roman"/>
                <w:b w:val="false"/>
                <w:i w:val="false"/>
                <w:color w:val="000000"/>
                <w:sz w:val="24"/>
              </w:rPr>
              <w:t>25/30</w:t>
            </w:r>
          </w:p>
          <w:p>
            <w:pPr>
              <w:spacing w:after="14"/>
              <w:ind w:left="14"/>
              <w:jc w:val="left"/>
            </w:pPr>
            <w:r>
              <w:rPr>
                <w:rFonts w:hint="default" w:ascii="Times New Roman" w:hAnsi="Times New Roman"/>
                <w:b w:val="false"/>
                <w:i w:val="false"/>
                <w:color w:val="000000"/>
                <w:sz w:val="24"/>
              </w:rPr>
              <w:t>36/40</w:t>
            </w:r>
          </w:p>
          <w:p>
            <w:pPr>
              <w:spacing w:after="14"/>
              <w:ind w:left="14"/>
              <w:jc w:val="left"/>
            </w:pPr>
            <w:r>
              <w:rPr>
                <w:rFonts w:hint="default" w:ascii="Times New Roman" w:hAnsi="Times New Roman"/>
                <w:b w:val="false"/>
                <w:i w:val="false"/>
                <w:color w:val="000000"/>
                <w:sz w:val="24"/>
              </w:rPr>
              <w:t>35/40</w:t>
            </w:r>
          </w:p>
          <w:p>
            <w:pPr>
              <w:spacing w:after="14"/>
              <w:ind w:left="14"/>
              <w:jc w:val="left"/>
            </w:pPr>
            <w:r>
              <w:rPr>
                <w:rFonts w:hint="default" w:ascii="Times New Roman" w:hAnsi="Times New Roman"/>
                <w:b w:val="false"/>
                <w:i w:val="false"/>
                <w:color w:val="000000"/>
                <w:sz w:val="24"/>
              </w:rPr>
              <w:t>40/45</w:t>
            </w:r>
          </w:p>
          <w:p>
            <w:pPr>
              <w:spacing w:after="14"/>
              <w:ind w:left="14"/>
              <w:jc w:val="left"/>
            </w:pPr>
            <w:r>
              <w:rPr>
                <w:rFonts w:hint="default" w:ascii="Times New Roman" w:hAnsi="Times New Roman"/>
                <w:b w:val="false"/>
                <w:i w:val="false"/>
                <w:color w:val="000000"/>
                <w:sz w:val="24"/>
              </w:rPr>
              <w:t>45/50</w:t>
            </w:r>
          </w:p>
          <w:p>
            <w:pPr>
              <w:spacing w:after="14"/>
              <w:ind w:left="14"/>
              <w:jc w:val="left"/>
            </w:pPr>
            <w:r>
              <w:rPr>
                <w:rFonts w:hint="default" w:ascii="Times New Roman" w:hAnsi="Times New Roman"/>
                <w:b w:val="false"/>
                <w:i w:val="false"/>
                <w:color w:val="000000"/>
                <w:sz w:val="24"/>
              </w:rPr>
              <w:t>50/55</w:t>
            </w:r>
          </w:p>
          <w:p>
            <w:pPr>
              <w:spacing w:after="14"/>
              <w:ind w:left="14"/>
              <w:jc w:val="left"/>
            </w:pPr>
            <w:r>
              <w:rPr>
                <w:rFonts w:hint="default" w:ascii="Times New Roman" w:hAnsi="Times New Roman"/>
                <w:b w:val="false"/>
                <w:i w:val="false"/>
                <w:color w:val="000000"/>
                <w:sz w:val="24"/>
              </w:rPr>
              <w:t>54/60</w:t>
            </w:r>
          </w:p>
          <w:p>
            <w:pPr>
              <w:spacing w:after="14"/>
              <w:ind w:left="14"/>
              <w:jc w:val="left"/>
            </w:pPr>
            <w:r>
              <w:rPr>
                <w:rFonts w:hint="default" w:ascii="Times New Roman" w:hAnsi="Times New Roman"/>
                <w:b w:val="false"/>
                <w:i w:val="false"/>
                <w:color w:val="000000"/>
                <w:sz w:val="24"/>
              </w:rPr>
              <w:t>64/70</w:t>
            </w:r>
          </w:p>
          <w:p>
            <w:pPr>
              <w:spacing w:after="14"/>
              <w:ind w:left="14"/>
              <w:jc w:val="left"/>
            </w:pPr>
            <w:r>
              <w:rPr>
                <w:rFonts w:hint="default" w:ascii="Times New Roman" w:hAnsi="Times New Roman"/>
                <w:b w:val="false"/>
                <w:i w:val="false"/>
                <w:color w:val="000000"/>
                <w:sz w:val="24"/>
              </w:rPr>
              <w:t>74/80</w:t>
            </w:r>
          </w:p>
          <w:p>
            <w:pPr>
              <w:spacing w:after="14"/>
              <w:ind w:left="14"/>
              <w:jc w:val="left"/>
            </w:pPr>
            <w:r>
              <w:rPr>
                <w:rFonts w:hint="default" w:ascii="Times New Roman" w:hAnsi="Times New Roman"/>
                <w:b w:val="false"/>
                <w:i w:val="false"/>
                <w:color w:val="000000"/>
                <w:sz w:val="24"/>
              </w:rPr>
              <w:t>72/80</w:t>
            </w:r>
          </w:p>
          <w:p>
            <w:pPr>
              <w:spacing w:after="0"/>
              <w:ind w:left="14"/>
              <w:jc w:val="left"/>
            </w:pPr>
            <w:r>
              <w:rPr>
                <w:rFonts w:hint="default" w:ascii="Times New Roman" w:hAnsi="Times New Roman"/>
                <w:b w:val="false"/>
                <w:i w:val="false"/>
                <w:color w:val="000000"/>
                <w:sz w:val="24"/>
              </w:rPr>
              <w:t>75/85</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295</w:t>
            </w:r>
          </w:p>
          <w:p>
            <w:pPr>
              <w:spacing w:after="14"/>
              <w:ind w:left="14"/>
              <w:jc w:val="left"/>
            </w:pPr>
            <w:r>
              <w:rPr>
                <w:rFonts w:hint="default" w:ascii="Times New Roman" w:hAnsi="Times New Roman"/>
                <w:b w:val="false"/>
                <w:i w:val="false"/>
                <w:color w:val="000000"/>
                <w:sz w:val="24"/>
              </w:rPr>
              <w:t>345</w:t>
            </w:r>
          </w:p>
          <w:p>
            <w:pPr>
              <w:spacing w:after="14"/>
              <w:ind w:left="14"/>
              <w:jc w:val="left"/>
            </w:pPr>
            <w:r>
              <w:rPr>
                <w:rFonts w:hint="default" w:ascii="Times New Roman" w:hAnsi="Times New Roman"/>
                <w:b w:val="false"/>
                <w:i w:val="false"/>
                <w:color w:val="000000"/>
                <w:sz w:val="24"/>
              </w:rPr>
              <w:t>425</w:t>
            </w:r>
          </w:p>
          <w:p>
            <w:pPr>
              <w:spacing w:after="14"/>
              <w:ind w:left="14"/>
              <w:jc w:val="left"/>
            </w:pPr>
            <w:r>
              <w:rPr>
                <w:rFonts w:hint="default" w:ascii="Times New Roman" w:hAnsi="Times New Roman"/>
                <w:b w:val="false"/>
                <w:i w:val="false"/>
                <w:color w:val="000000"/>
                <w:sz w:val="24"/>
              </w:rPr>
              <w:t>500</w:t>
            </w:r>
          </w:p>
          <w:p>
            <w:pPr>
              <w:spacing w:after="14"/>
              <w:ind w:left="14"/>
              <w:jc w:val="left"/>
            </w:pPr>
            <w:r>
              <w:rPr>
                <w:rFonts w:hint="default" w:ascii="Times New Roman" w:hAnsi="Times New Roman"/>
                <w:b w:val="false"/>
                <w:i w:val="false"/>
                <w:color w:val="000000"/>
                <w:sz w:val="24"/>
              </w:rPr>
              <w:t>575</w:t>
            </w:r>
          </w:p>
          <w:p>
            <w:pPr>
              <w:spacing w:after="14"/>
              <w:ind w:left="14"/>
              <w:jc w:val="left"/>
            </w:pPr>
            <w:r>
              <w:rPr>
                <w:rFonts w:hint="default" w:ascii="Times New Roman" w:hAnsi="Times New Roman"/>
                <w:b w:val="false"/>
                <w:i w:val="false"/>
                <w:color w:val="000000"/>
                <w:sz w:val="24"/>
              </w:rPr>
              <w:t>640</w:t>
            </w:r>
          </w:p>
          <w:p>
            <w:pPr>
              <w:spacing w:after="14"/>
              <w:ind w:left="14"/>
              <w:jc w:val="left"/>
            </w:pPr>
            <w:r>
              <w:rPr>
                <w:rFonts w:hint="default" w:ascii="Times New Roman" w:hAnsi="Times New Roman"/>
                <w:b w:val="false"/>
                <w:i w:val="false"/>
                <w:color w:val="000000"/>
                <w:sz w:val="24"/>
              </w:rPr>
              <w:t>765</w:t>
            </w:r>
          </w:p>
          <w:p>
            <w:pPr>
              <w:spacing w:after="14"/>
              <w:ind w:left="14"/>
              <w:jc w:val="left"/>
            </w:pPr>
            <w:r>
              <w:rPr>
                <w:rFonts w:hint="default" w:ascii="Times New Roman" w:hAnsi="Times New Roman"/>
                <w:b w:val="false"/>
                <w:i w:val="false"/>
                <w:color w:val="000000"/>
                <w:sz w:val="24"/>
              </w:rPr>
              <w:t>850</w:t>
            </w:r>
          </w:p>
          <w:p>
            <w:pPr>
              <w:spacing w:after="14"/>
              <w:ind w:left="14"/>
              <w:jc w:val="left"/>
            </w:pPr>
            <w:r>
              <w:rPr>
                <w:rFonts w:hint="default" w:ascii="Times New Roman" w:hAnsi="Times New Roman"/>
                <w:b w:val="false"/>
                <w:i w:val="false"/>
                <w:color w:val="000000"/>
                <w:sz w:val="24"/>
              </w:rPr>
              <w:t>935</w:t>
            </w:r>
          </w:p>
          <w:p>
            <w:pPr>
              <w:spacing w:after="14"/>
              <w:ind w:left="14"/>
              <w:jc w:val="left"/>
            </w:pPr>
            <w:r>
              <w:rPr>
                <w:rFonts w:hint="default" w:ascii="Times New Roman" w:hAnsi="Times New Roman"/>
                <w:b w:val="false"/>
                <w:i w:val="false"/>
                <w:color w:val="000000"/>
                <w:sz w:val="24"/>
              </w:rPr>
              <w:t>1040</w:t>
            </w:r>
          </w:p>
          <w:p>
            <w:pPr>
              <w:spacing w:after="14"/>
              <w:ind w:left="14"/>
              <w:jc w:val="left"/>
            </w:pPr>
            <w:r>
              <w:rPr>
                <w:rFonts w:hint="default" w:ascii="Times New Roman" w:hAnsi="Times New Roman"/>
                <w:b w:val="false"/>
                <w:i w:val="false"/>
                <w:color w:val="000000"/>
                <w:sz w:val="24"/>
              </w:rPr>
              <w:t>1150</w:t>
            </w:r>
          </w:p>
          <w:p>
            <w:pPr>
              <w:spacing w:after="14"/>
              <w:ind w:left="14"/>
              <w:jc w:val="left"/>
            </w:pPr>
            <w:r>
              <w:rPr>
                <w:rFonts w:hint="default" w:ascii="Times New Roman" w:hAnsi="Times New Roman"/>
                <w:b w:val="false"/>
                <w:i w:val="false"/>
                <w:color w:val="000000"/>
                <w:sz w:val="24"/>
              </w:rPr>
              <w:t>1340</w:t>
            </w:r>
          </w:p>
          <w:p>
            <w:pPr>
              <w:spacing w:after="14"/>
              <w:ind w:left="14"/>
              <w:jc w:val="left"/>
            </w:pPr>
            <w:r>
              <w:rPr>
                <w:rFonts w:hint="default" w:ascii="Times New Roman" w:hAnsi="Times New Roman"/>
                <w:b w:val="false"/>
                <w:i w:val="false"/>
                <w:color w:val="000000"/>
                <w:sz w:val="24"/>
              </w:rPr>
              <w:t>1545</w:t>
            </w:r>
          </w:p>
          <w:p>
            <w:pPr>
              <w:spacing w:after="14"/>
              <w:ind w:left="14"/>
              <w:jc w:val="left"/>
            </w:pPr>
            <w:r>
              <w:rPr>
                <w:rFonts w:hint="default" w:ascii="Times New Roman" w:hAnsi="Times New Roman"/>
                <w:b w:val="false"/>
                <w:i w:val="false"/>
                <w:color w:val="000000"/>
                <w:sz w:val="24"/>
              </w:rPr>
              <w:t>1770</w:t>
            </w:r>
          </w:p>
          <w:p>
            <w:pPr>
              <w:spacing w:after="14"/>
              <w:ind w:left="14"/>
              <w:jc w:val="left"/>
            </w:pPr>
            <w:r>
              <w:rPr>
                <w:rFonts w:hint="default" w:ascii="Times New Roman" w:hAnsi="Times New Roman"/>
                <w:b w:val="false"/>
                <w:i w:val="false"/>
                <w:color w:val="000000"/>
                <w:sz w:val="24"/>
              </w:rPr>
              <w:t>2035</w:t>
            </w:r>
          </w:p>
          <w:p>
            <w:pPr>
              <w:spacing w:after="0"/>
              <w:ind w:left="14"/>
              <w:jc w:val="left"/>
            </w:pPr>
            <w:r>
              <w:rPr>
                <w:rFonts w:hint="default" w:ascii="Times New Roman" w:hAnsi="Times New Roman"/>
                <w:b w:val="false"/>
                <w:i w:val="false"/>
                <w:color w:val="000000"/>
                <w:sz w:val="24"/>
              </w:rPr>
              <w:t>2400</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w:t>
            </w:r>
          </w:p>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25</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65</w:t>
            </w:r>
          </w:p>
          <w:p>
            <w:pPr>
              <w:spacing w:after="14"/>
              <w:ind w:left="14"/>
              <w:jc w:val="left"/>
            </w:pPr>
            <w:r>
              <w:rPr>
                <w:rFonts w:hint="default" w:ascii="Times New Roman" w:hAnsi="Times New Roman"/>
                <w:b w:val="false"/>
                <w:i w:val="false"/>
                <w:color w:val="000000"/>
                <w:sz w:val="24"/>
              </w:rPr>
              <w:t>80</w:t>
            </w:r>
          </w:p>
          <w:p>
            <w:pPr>
              <w:spacing w:after="14"/>
              <w:ind w:left="14"/>
              <w:jc w:val="left"/>
            </w:pPr>
            <w:r>
              <w:rPr>
                <w:rFonts w:hint="default" w:ascii="Times New Roman" w:hAnsi="Times New Roman"/>
                <w:b w:val="false"/>
                <w:i w:val="false"/>
                <w:color w:val="000000"/>
                <w:sz w:val="24"/>
              </w:rPr>
              <w:t>100</w:t>
            </w:r>
          </w:p>
          <w:p>
            <w:pPr>
              <w:spacing w:after="14"/>
              <w:ind w:left="14"/>
              <w:jc w:val="left"/>
            </w:pPr>
            <w:r>
              <w:rPr>
                <w:rFonts w:hint="default" w:ascii="Times New Roman" w:hAnsi="Times New Roman"/>
                <w:b w:val="false"/>
                <w:i w:val="false"/>
                <w:color w:val="000000"/>
                <w:sz w:val="24"/>
              </w:rPr>
              <w:t>125</w:t>
            </w:r>
          </w:p>
          <w:p>
            <w:pPr>
              <w:spacing w:after="14"/>
              <w:ind w:left="14"/>
              <w:jc w:val="left"/>
            </w:pPr>
            <w:r>
              <w:rPr>
                <w:rFonts w:hint="default" w:ascii="Times New Roman" w:hAnsi="Times New Roman"/>
                <w:b w:val="false"/>
                <w:i w:val="false"/>
                <w:color w:val="000000"/>
                <w:sz w:val="24"/>
              </w:rPr>
              <w:t>150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2,8</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3,2</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4,5</w:t>
            </w:r>
          </w:p>
          <w:p>
            <w:pPr>
              <w:spacing w:after="14"/>
              <w:ind w:left="14"/>
              <w:jc w:val="left"/>
            </w:pPr>
            <w:r>
              <w:rPr>
                <w:rFonts w:hint="default" w:ascii="Times New Roman" w:hAnsi="Times New Roman"/>
                <w:b w:val="false"/>
                <w:i w:val="false"/>
                <w:color w:val="000000"/>
                <w:sz w:val="24"/>
              </w:rPr>
              <w:t>5,0</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5,5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13,5</w:t>
            </w:r>
          </w:p>
          <w:p>
            <w:pPr>
              <w:spacing w:after="14"/>
              <w:ind w:left="14"/>
              <w:jc w:val="left"/>
            </w:pPr>
            <w:r>
              <w:rPr>
                <w:rFonts w:hint="default" w:ascii="Times New Roman" w:hAnsi="Times New Roman"/>
                <w:b w:val="false"/>
                <w:i w:val="false"/>
                <w:color w:val="000000"/>
                <w:sz w:val="24"/>
              </w:rPr>
              <w:t>17,0</w:t>
            </w:r>
          </w:p>
          <w:p>
            <w:pPr>
              <w:spacing w:after="14"/>
              <w:ind w:left="14"/>
              <w:jc w:val="left"/>
            </w:pPr>
            <w:r>
              <w:rPr>
                <w:rFonts w:hint="default" w:ascii="Times New Roman" w:hAnsi="Times New Roman"/>
                <w:b w:val="false"/>
                <w:i w:val="false"/>
                <w:color w:val="000000"/>
                <w:sz w:val="24"/>
              </w:rPr>
              <w:t>21,3</w:t>
            </w:r>
          </w:p>
          <w:p>
            <w:pPr>
              <w:spacing w:after="14"/>
              <w:ind w:left="14"/>
              <w:jc w:val="left"/>
            </w:pPr>
            <w:r>
              <w:rPr>
                <w:rFonts w:hint="default" w:ascii="Times New Roman" w:hAnsi="Times New Roman"/>
                <w:b w:val="false"/>
                <w:i w:val="false"/>
                <w:color w:val="000000"/>
                <w:sz w:val="24"/>
              </w:rPr>
              <w:t>26,8</w:t>
            </w:r>
          </w:p>
          <w:p>
            <w:pPr>
              <w:spacing w:after="14"/>
              <w:ind w:left="14"/>
              <w:jc w:val="left"/>
            </w:pPr>
            <w:r>
              <w:rPr>
                <w:rFonts w:hint="default" w:ascii="Times New Roman" w:hAnsi="Times New Roman"/>
                <w:b w:val="false"/>
                <w:i w:val="false"/>
                <w:color w:val="000000"/>
                <w:sz w:val="24"/>
              </w:rPr>
              <w:t>33,5</w:t>
            </w:r>
          </w:p>
          <w:p>
            <w:pPr>
              <w:spacing w:after="14"/>
              <w:ind w:left="14"/>
              <w:jc w:val="left"/>
            </w:pPr>
            <w:r>
              <w:rPr>
                <w:rFonts w:hint="default" w:ascii="Times New Roman" w:hAnsi="Times New Roman"/>
                <w:b w:val="false"/>
                <w:i w:val="false"/>
                <w:color w:val="000000"/>
                <w:sz w:val="24"/>
              </w:rPr>
              <w:t>42,3</w:t>
            </w:r>
          </w:p>
          <w:p>
            <w:pPr>
              <w:spacing w:after="14"/>
              <w:ind w:left="14"/>
              <w:jc w:val="left"/>
            </w:pPr>
            <w:r>
              <w:rPr>
                <w:rFonts w:hint="default" w:ascii="Times New Roman" w:hAnsi="Times New Roman"/>
                <w:b w:val="false"/>
                <w:i w:val="false"/>
                <w:color w:val="000000"/>
                <w:sz w:val="24"/>
              </w:rPr>
              <w:t>48,0</w:t>
            </w:r>
          </w:p>
          <w:p>
            <w:pPr>
              <w:spacing w:after="14"/>
              <w:ind w:left="14"/>
              <w:jc w:val="left"/>
            </w:pPr>
            <w:r>
              <w:rPr>
                <w:rFonts w:hint="default" w:ascii="Times New Roman" w:hAnsi="Times New Roman"/>
                <w:b w:val="false"/>
                <w:i w:val="false"/>
                <w:color w:val="000000"/>
                <w:sz w:val="24"/>
              </w:rPr>
              <w:t>60,0</w:t>
            </w:r>
          </w:p>
          <w:p>
            <w:pPr>
              <w:spacing w:after="14"/>
              <w:ind w:left="14"/>
              <w:jc w:val="left"/>
            </w:pPr>
            <w:r>
              <w:rPr>
                <w:rFonts w:hint="default" w:ascii="Times New Roman" w:hAnsi="Times New Roman"/>
                <w:b w:val="false"/>
                <w:i w:val="false"/>
                <w:color w:val="000000"/>
                <w:sz w:val="24"/>
              </w:rPr>
              <w:t>75,5</w:t>
            </w:r>
          </w:p>
          <w:p>
            <w:pPr>
              <w:spacing w:after="14"/>
              <w:ind w:left="14"/>
              <w:jc w:val="left"/>
            </w:pPr>
            <w:r>
              <w:rPr>
                <w:rFonts w:hint="default" w:ascii="Times New Roman" w:hAnsi="Times New Roman"/>
                <w:b w:val="false"/>
                <w:i w:val="false"/>
                <w:color w:val="000000"/>
                <w:sz w:val="24"/>
              </w:rPr>
              <w:t>88,5</w:t>
            </w:r>
          </w:p>
          <w:p>
            <w:pPr>
              <w:spacing w:after="14"/>
              <w:ind w:left="14"/>
              <w:jc w:val="left"/>
            </w:pPr>
            <w:r>
              <w:rPr>
                <w:rFonts w:hint="default" w:ascii="Times New Roman" w:hAnsi="Times New Roman"/>
                <w:b w:val="false"/>
                <w:i w:val="false"/>
                <w:color w:val="000000"/>
                <w:sz w:val="24"/>
              </w:rPr>
              <w:t>114</w:t>
            </w:r>
          </w:p>
          <w:p>
            <w:pPr>
              <w:spacing w:after="14"/>
              <w:ind w:left="14"/>
              <w:jc w:val="left"/>
            </w:pPr>
            <w:r>
              <w:rPr>
                <w:rFonts w:hint="default" w:ascii="Times New Roman" w:hAnsi="Times New Roman"/>
                <w:b w:val="false"/>
                <w:i w:val="false"/>
                <w:color w:val="000000"/>
                <w:sz w:val="24"/>
              </w:rPr>
              <w:t>140</w:t>
            </w:r>
          </w:p>
          <w:p>
            <w:pPr>
              <w:spacing w:after="14"/>
              <w:ind w:left="14"/>
              <w:jc w:val="left"/>
            </w:pPr>
            <w:r>
              <w:rPr>
                <w:rFonts w:hint="default" w:ascii="Times New Roman" w:hAnsi="Times New Roman"/>
                <w:b w:val="false"/>
                <w:i w:val="false"/>
                <w:color w:val="000000"/>
                <w:sz w:val="24"/>
              </w:rPr>
              <w:t>165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75</w:t>
            </w:r>
          </w:p>
          <w:p>
            <w:pPr>
              <w:spacing w:after="14"/>
              <w:ind w:left="14"/>
              <w:jc w:val="left"/>
            </w:pPr>
            <w:r>
              <w:rPr>
                <w:rFonts w:hint="default" w:ascii="Times New Roman" w:hAnsi="Times New Roman"/>
                <w:b w:val="false"/>
                <w:i w:val="false"/>
                <w:color w:val="000000"/>
                <w:sz w:val="24"/>
              </w:rPr>
              <w:t>90</w:t>
            </w:r>
          </w:p>
          <w:p>
            <w:pPr>
              <w:spacing w:after="14"/>
              <w:ind w:left="14"/>
              <w:jc w:val="left"/>
            </w:pPr>
            <w:r>
              <w:rPr>
                <w:rFonts w:hint="default" w:ascii="Times New Roman" w:hAnsi="Times New Roman"/>
                <w:b w:val="false"/>
                <w:i w:val="false"/>
                <w:color w:val="000000"/>
                <w:sz w:val="24"/>
              </w:rPr>
              <w:t>118</w:t>
            </w:r>
          </w:p>
          <w:p>
            <w:pPr>
              <w:spacing w:after="14"/>
              <w:ind w:left="14"/>
              <w:jc w:val="left"/>
            </w:pPr>
            <w:r>
              <w:rPr>
                <w:rFonts w:hint="default" w:ascii="Times New Roman" w:hAnsi="Times New Roman"/>
                <w:b w:val="false"/>
                <w:i w:val="false"/>
                <w:color w:val="000000"/>
                <w:sz w:val="24"/>
              </w:rPr>
              <w:t>145</w:t>
            </w:r>
          </w:p>
          <w:p>
            <w:pPr>
              <w:spacing w:after="14"/>
              <w:ind w:left="14"/>
              <w:jc w:val="left"/>
            </w:pPr>
            <w:r>
              <w:rPr>
                <w:rFonts w:hint="default" w:ascii="Times New Roman" w:hAnsi="Times New Roman"/>
                <w:b w:val="false"/>
                <w:i w:val="false"/>
                <w:color w:val="000000"/>
                <w:sz w:val="24"/>
              </w:rPr>
              <w:t>180</w:t>
            </w:r>
          </w:p>
          <w:p>
            <w:pPr>
              <w:spacing w:after="14"/>
              <w:ind w:left="14"/>
              <w:jc w:val="left"/>
            </w:pPr>
            <w:r>
              <w:rPr>
                <w:rFonts w:hint="default" w:ascii="Times New Roman" w:hAnsi="Times New Roman"/>
                <w:b w:val="false"/>
                <w:i w:val="false"/>
                <w:color w:val="000000"/>
                <w:sz w:val="24"/>
              </w:rPr>
              <w:t>220</w:t>
            </w:r>
          </w:p>
          <w:p>
            <w:pPr>
              <w:spacing w:after="14"/>
              <w:ind w:left="14"/>
              <w:jc w:val="left"/>
            </w:pPr>
            <w:r>
              <w:rPr>
                <w:rFonts w:hint="default" w:ascii="Times New Roman" w:hAnsi="Times New Roman"/>
                <w:b w:val="false"/>
                <w:i w:val="false"/>
                <w:color w:val="000000"/>
                <w:sz w:val="24"/>
              </w:rPr>
              <w:t>255</w:t>
            </w:r>
          </w:p>
          <w:p>
            <w:pPr>
              <w:spacing w:after="14"/>
              <w:ind w:left="14"/>
              <w:jc w:val="left"/>
            </w:pPr>
            <w:r>
              <w:rPr>
                <w:rFonts w:hint="default" w:ascii="Times New Roman" w:hAnsi="Times New Roman"/>
                <w:b w:val="false"/>
                <w:i w:val="false"/>
                <w:color w:val="000000"/>
                <w:sz w:val="24"/>
              </w:rPr>
              <w:t>320</w:t>
            </w:r>
          </w:p>
          <w:p>
            <w:pPr>
              <w:spacing w:after="14"/>
              <w:ind w:left="14"/>
              <w:jc w:val="left"/>
            </w:pPr>
            <w:r>
              <w:rPr>
                <w:rFonts w:hint="default" w:ascii="Times New Roman" w:hAnsi="Times New Roman"/>
                <w:b w:val="false"/>
                <w:i w:val="false"/>
                <w:color w:val="000000"/>
                <w:sz w:val="24"/>
              </w:rPr>
              <w:t>390</w:t>
            </w:r>
          </w:p>
          <w:p>
            <w:pPr>
              <w:spacing w:after="14"/>
              <w:ind w:left="14"/>
              <w:jc w:val="left"/>
            </w:pPr>
            <w:r>
              <w:rPr>
                <w:rFonts w:hint="default" w:ascii="Times New Roman" w:hAnsi="Times New Roman"/>
                <w:b w:val="false"/>
                <w:i w:val="false"/>
                <w:color w:val="000000"/>
                <w:sz w:val="24"/>
              </w:rPr>
              <w:t>455</w:t>
            </w:r>
          </w:p>
          <w:p>
            <w:pPr>
              <w:spacing w:after="14"/>
              <w:ind w:left="14"/>
              <w:jc w:val="left"/>
            </w:pPr>
            <w:r>
              <w:rPr>
                <w:rFonts w:hint="default" w:ascii="Times New Roman" w:hAnsi="Times New Roman"/>
                <w:b w:val="false"/>
                <w:i w:val="false"/>
                <w:color w:val="000000"/>
                <w:sz w:val="24"/>
              </w:rPr>
              <w:t>670</w:t>
            </w:r>
          </w:p>
          <w:p>
            <w:pPr>
              <w:spacing w:after="14"/>
              <w:ind w:left="14"/>
              <w:jc w:val="left"/>
            </w:pPr>
            <w:r>
              <w:rPr>
                <w:rFonts w:hint="default" w:ascii="Times New Roman" w:hAnsi="Times New Roman"/>
                <w:b w:val="false"/>
                <w:i w:val="false"/>
                <w:color w:val="000000"/>
                <w:sz w:val="24"/>
              </w:rPr>
              <w:t>800</w:t>
            </w:r>
          </w:p>
          <w:p>
            <w:pPr>
              <w:spacing w:after="14"/>
              <w:ind w:left="14"/>
              <w:jc w:val="left"/>
            </w:pPr>
            <w:r>
              <w:rPr>
                <w:rFonts w:hint="default" w:ascii="Times New Roman" w:hAnsi="Times New Roman"/>
                <w:b w:val="false"/>
                <w:i w:val="false"/>
                <w:color w:val="000000"/>
                <w:sz w:val="24"/>
              </w:rPr>
              <w:t>900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72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770</w:t>
            </w:r>
          </w:p>
          <w:p>
            <w:pPr>
              <w:spacing w:after="14"/>
              <w:ind w:left="14"/>
              <w:jc w:val="left"/>
            </w:pPr>
            <w:r>
              <w:rPr>
                <w:rFonts w:hint="default" w:ascii="Times New Roman" w:hAnsi="Times New Roman"/>
                <w:b w:val="false"/>
                <w:i w:val="false"/>
                <w:color w:val="000000"/>
                <w:sz w:val="24"/>
              </w:rPr>
              <w:t>890</w:t>
            </w:r>
          </w:p>
          <w:p>
            <w:pPr>
              <w:spacing w:after="14"/>
              <w:ind w:left="14"/>
              <w:jc w:val="left"/>
            </w:pPr>
            <w:r>
              <w:rPr>
                <w:rFonts w:hint="default" w:ascii="Times New Roman" w:hAnsi="Times New Roman"/>
                <w:b w:val="false"/>
                <w:i w:val="false"/>
                <w:color w:val="000000"/>
                <w:sz w:val="24"/>
              </w:rPr>
              <w:t>1000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r>
        <w:trPr>
          <w:trHeight w:val="30" w:hRule="atLeast"/>
        </w:trPr>
        <w:tc>
          <w:tcPr>
            <w:tcW w:w="39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30</w:t>
            </w:r>
          </w:p>
          <w:p>
            <w:pPr>
              <w:spacing w:after="14"/>
              <w:ind w:left="14"/>
              <w:jc w:val="left"/>
            </w:pPr>
            <w:r>
              <w:rPr>
                <w:rFonts w:hint="default" w:ascii="Times New Roman" w:hAnsi="Times New Roman"/>
                <w:b w:val="false"/>
                <w:i w:val="false"/>
                <w:color w:val="000000"/>
                <w:sz w:val="24"/>
              </w:rPr>
              <w:t>35</w:t>
            </w:r>
          </w:p>
          <w:p>
            <w:pPr>
              <w:spacing w:after="14"/>
              <w:ind w:left="14"/>
              <w:jc w:val="left"/>
            </w:pPr>
            <w:r>
              <w:rPr>
                <w:rFonts w:hint="default" w:ascii="Times New Roman" w:hAnsi="Times New Roman"/>
                <w:b w:val="false"/>
                <w:i w:val="false"/>
                <w:color w:val="000000"/>
                <w:sz w:val="24"/>
              </w:rPr>
              <w:t>38</w:t>
            </w:r>
          </w:p>
          <w:p>
            <w:pPr>
              <w:spacing w:after="14"/>
              <w:ind w:left="14"/>
              <w:jc w:val="left"/>
            </w:pPr>
            <w:r>
              <w:rPr>
                <w:rFonts w:hint="default" w:ascii="Times New Roman" w:hAnsi="Times New Roman"/>
                <w:b w:val="false"/>
                <w:i w:val="false"/>
                <w:color w:val="000000"/>
                <w:sz w:val="24"/>
              </w:rPr>
              <w:t>40</w:t>
            </w:r>
          </w:p>
          <w:p>
            <w:pPr>
              <w:spacing w:after="14"/>
              <w:ind w:left="14"/>
              <w:jc w:val="left"/>
            </w:pPr>
            <w:r>
              <w:rPr>
                <w:rFonts w:hint="default" w:ascii="Times New Roman" w:hAnsi="Times New Roman"/>
                <w:b w:val="false"/>
                <w:i w:val="false"/>
                <w:color w:val="000000"/>
                <w:sz w:val="24"/>
              </w:rPr>
              <w:t>42</w:t>
            </w:r>
          </w:p>
          <w:p>
            <w:pPr>
              <w:spacing w:after="0"/>
              <w:ind w:left="14"/>
              <w:jc w:val="left"/>
            </w:pPr>
            <w:r>
              <w:rPr>
                <w:rFonts w:hint="default" w:ascii="Times New Roman" w:hAnsi="Times New Roman"/>
                <w:b w:val="false"/>
                <w:i w:val="false"/>
                <w:color w:val="000000"/>
                <w:sz w:val="24"/>
              </w:rPr>
              <w:t>45</w:t>
            </w:r>
          </w:p>
        </w:tc>
        <w:tc>
          <w:tcPr>
            <w:tcW w:w="14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1450/1490</w:t>
            </w:r>
          </w:p>
          <w:p>
            <w:pPr>
              <w:spacing w:after="14"/>
              <w:ind w:left="14"/>
              <w:jc w:val="left"/>
            </w:pPr>
            <w:r>
              <w:rPr>
                <w:rFonts w:hint="default" w:ascii="Times New Roman" w:hAnsi="Times New Roman"/>
                <w:b w:val="false"/>
                <w:i w:val="false"/>
                <w:color w:val="000000"/>
                <w:sz w:val="24"/>
              </w:rPr>
              <w:t>1770/1865</w:t>
            </w:r>
          </w:p>
          <w:p>
            <w:pPr>
              <w:spacing w:after="14"/>
              <w:ind w:left="14"/>
              <w:jc w:val="left"/>
            </w:pPr>
            <w:r>
              <w:rPr>
                <w:rFonts w:hint="default" w:ascii="Times New Roman" w:hAnsi="Times New Roman"/>
                <w:b w:val="false"/>
                <w:i w:val="false"/>
                <w:color w:val="000000"/>
                <w:sz w:val="24"/>
              </w:rPr>
              <w:t>1960/2100</w:t>
            </w:r>
          </w:p>
          <w:p>
            <w:pPr>
              <w:spacing w:after="14"/>
              <w:ind w:left="14"/>
              <w:jc w:val="left"/>
            </w:pPr>
            <w:r>
              <w:rPr>
                <w:rFonts w:hint="default" w:ascii="Times New Roman" w:hAnsi="Times New Roman"/>
                <w:b w:val="false"/>
                <w:i w:val="false"/>
                <w:color w:val="000000"/>
                <w:sz w:val="24"/>
              </w:rPr>
              <w:t>2080/2260</w:t>
            </w:r>
          </w:p>
          <w:p>
            <w:pPr>
              <w:spacing w:after="14"/>
              <w:ind w:left="14"/>
              <w:jc w:val="left"/>
            </w:pPr>
            <w:r>
              <w:rPr>
                <w:rFonts w:hint="default" w:ascii="Times New Roman" w:hAnsi="Times New Roman"/>
                <w:b w:val="false"/>
                <w:i w:val="false"/>
                <w:color w:val="000000"/>
                <w:sz w:val="24"/>
              </w:rPr>
              <w:t>2200/2430</w:t>
            </w:r>
          </w:p>
          <w:p>
            <w:pPr>
              <w:spacing w:after="0"/>
              <w:ind w:left="14"/>
              <w:jc w:val="left"/>
            </w:pPr>
            <w:r>
              <w:rPr>
                <w:rFonts w:hint="default" w:ascii="Times New Roman" w:hAnsi="Times New Roman"/>
                <w:b w:val="false"/>
                <w:i w:val="false"/>
                <w:color w:val="000000"/>
                <w:sz w:val="24"/>
              </w:rPr>
              <w:t>2380/2670</w:t>
            </w:r>
          </w:p>
        </w:tc>
        <w:tc>
          <w:tcPr>
            <w:tcW w:w="161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1120/1155</w:t>
            </w:r>
          </w:p>
          <w:p>
            <w:pPr>
              <w:spacing w:after="14"/>
              <w:ind w:left="14"/>
              <w:jc w:val="left"/>
            </w:pPr>
            <w:r>
              <w:rPr>
                <w:rFonts w:hint="default" w:ascii="Times New Roman" w:hAnsi="Times New Roman"/>
                <w:b w:val="false"/>
                <w:i w:val="false"/>
                <w:color w:val="000000"/>
                <w:sz w:val="24"/>
              </w:rPr>
              <w:t>1370/1450</w:t>
            </w:r>
          </w:p>
          <w:p>
            <w:pPr>
              <w:spacing w:after="14"/>
              <w:ind w:left="14"/>
              <w:jc w:val="left"/>
            </w:pPr>
            <w:r>
              <w:rPr>
                <w:rFonts w:hint="default" w:ascii="Times New Roman" w:hAnsi="Times New Roman"/>
                <w:b w:val="false"/>
                <w:i w:val="false"/>
                <w:color w:val="000000"/>
                <w:sz w:val="24"/>
              </w:rPr>
              <w:t>1510/1620</w:t>
            </w:r>
          </w:p>
          <w:p>
            <w:pPr>
              <w:spacing w:after="14"/>
              <w:ind w:left="14"/>
              <w:jc w:val="left"/>
            </w:pPr>
            <w:r>
              <w:rPr>
                <w:rFonts w:hint="default" w:ascii="Times New Roman" w:hAnsi="Times New Roman"/>
                <w:b w:val="false"/>
                <w:i w:val="false"/>
                <w:color w:val="000000"/>
                <w:sz w:val="24"/>
              </w:rPr>
              <w:t>1610/1750</w:t>
            </w:r>
          </w:p>
          <w:p>
            <w:pPr>
              <w:spacing w:after="14"/>
              <w:ind w:left="14"/>
              <w:jc w:val="left"/>
            </w:pPr>
            <w:r>
              <w:rPr>
                <w:rFonts w:hint="default" w:ascii="Times New Roman" w:hAnsi="Times New Roman"/>
                <w:b w:val="false"/>
                <w:i w:val="false"/>
                <w:color w:val="000000"/>
                <w:sz w:val="24"/>
              </w:rPr>
              <w:t>17700/1870</w:t>
            </w:r>
          </w:p>
          <w:p>
            <w:pPr>
              <w:spacing w:after="0"/>
              <w:ind w:left="14"/>
              <w:jc w:val="left"/>
            </w:pPr>
            <w:r>
              <w:rPr>
                <w:rFonts w:hint="default" w:ascii="Times New Roman" w:hAnsi="Times New Roman"/>
                <w:b w:val="false"/>
                <w:i w:val="false"/>
                <w:color w:val="000000"/>
                <w:sz w:val="24"/>
              </w:rPr>
              <w:t>1850/2060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90/95</w:t>
            </w:r>
          </w:p>
          <w:p>
            <w:pPr>
              <w:spacing w:after="14"/>
              <w:ind w:left="14"/>
              <w:jc w:val="left"/>
            </w:pPr>
            <w:r>
              <w:rPr>
                <w:rFonts w:hint="default" w:ascii="Times New Roman" w:hAnsi="Times New Roman"/>
                <w:b w:val="false"/>
                <w:i w:val="false"/>
                <w:color w:val="000000"/>
                <w:sz w:val="24"/>
              </w:rPr>
              <w:t>95/100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2460</w:t>
            </w:r>
          </w:p>
          <w:p>
            <w:pPr>
              <w:spacing w:after="14"/>
              <w:ind w:left="14"/>
              <w:jc w:val="left"/>
            </w:pPr>
            <w:r>
              <w:rPr>
                <w:rFonts w:hint="default" w:ascii="Times New Roman" w:hAnsi="Times New Roman"/>
                <w:b w:val="false"/>
                <w:i w:val="false"/>
                <w:color w:val="000000"/>
                <w:sz w:val="24"/>
              </w:rPr>
              <w:t>3060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90/95</w:t>
            </w:r>
          </w:p>
          <w:p>
            <w:pPr>
              <w:spacing w:after="14"/>
              <w:ind w:left="14"/>
              <w:jc w:val="left"/>
            </w:pPr>
            <w:r>
              <w:rPr>
                <w:rFonts w:hint="default" w:ascii="Times New Roman" w:hAnsi="Times New Roman"/>
                <w:b w:val="false"/>
                <w:i w:val="false"/>
                <w:color w:val="000000"/>
                <w:sz w:val="24"/>
              </w:rPr>
              <w:t>90/100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1925</w:t>
            </w:r>
          </w:p>
          <w:p>
            <w:pPr>
              <w:spacing w:after="14"/>
              <w:ind w:left="14"/>
              <w:jc w:val="left"/>
            </w:pPr>
            <w:r>
              <w:rPr>
                <w:rFonts w:hint="default" w:ascii="Times New Roman" w:hAnsi="Times New Roman"/>
                <w:b w:val="false"/>
                <w:i w:val="false"/>
                <w:color w:val="000000"/>
                <w:sz w:val="24"/>
              </w:rPr>
              <w:t>2840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72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4911"/>
    <w:bookmarkStart w:name="637606367" w:id="49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числителе приведены нагрузки при переменном токе, в знаменателе – при постоянном.</w:t>
      </w:r>
    </w:p>
    <w:bookmarkEnd w:id="4912"/>
    <w:bookmarkStart w:name="637606368" w:id="4913"/>
    <w:p>
      <w:pPr>
        <w:spacing w:before="120" w:after="120" w:line="240"/>
        <w:ind w:left="0"/>
        <w:jc w:val="both"/>
      </w:pPr>
      <w:r>
        <w:rPr>
          <w:rFonts w:hint="default" w:ascii="Times New Roman" w:hAnsi="Times New Roman"/>
          <w:b/>
          <w:i w:val="false"/>
          <w:color w:val="000000"/>
          <w:sz w:val="24"/>
        </w:rPr>
        <w:t>Допустимый длительный ток для шин прямоугольного сечения</w:t>
      </w:r>
    </w:p>
    <w:bookmarkEnd w:id="4913"/>
    <w:bookmarkStart w:name="637606369" w:id="491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31</w:t>
      </w:r>
    </w:p>
    <w:bookmarkEnd w:id="4914"/>
    <w:bookmarkStart w:name="637606370" w:id="4915"/>
    <w:tbl>
      <w:tblPr>
        <w:tblW w:w="18660" w:type="auto"/>
        <w:tblCellSpacing w:w="0" w:type="auto"/>
        <w:tblBorders>
          <w:top w:val="none"/>
          <w:left w:val="none"/>
          <w:bottom w:val="none"/>
          <w:right w:val="none"/>
          <w:insideH w:val="none"/>
          <w:insideV w:val="none"/>
        </w:tblBorders>
        <w:tblLayout/>
      </w:tblPr>
      <w:tblGrid>
        <w:gridCol w:w="567"/>
        <w:gridCol w:w="1452"/>
        <w:gridCol w:w="1453"/>
        <w:gridCol w:w="1453"/>
        <w:gridCol w:w="1326"/>
        <w:gridCol w:w="10"/>
        <w:gridCol w:w="1453"/>
        <w:gridCol w:w="1453"/>
        <w:gridCol w:w="1454"/>
        <w:gridCol w:w="244"/>
        <w:gridCol w:w="1367"/>
        <w:gridCol w:w="1367"/>
        <w:gridCol w:w="35"/>
        <w:gridCol w:w="2030"/>
        <w:gridCol w:w="336"/>
      </w:tblGrid>
      <w:tr>
        <w:trPr>
          <w:trHeight w:val="30" w:hRule="atLeast"/>
        </w:trPr>
        <w:tc>
          <w:tcPr>
            <w:tcW w:w="56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Размеры, мм</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Медные шины</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Алюминиевые шины</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Стальные шины</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11"/>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 при количестве полос на полюс или фазу</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Размеры, мм</w:t>
            </w:r>
          </w:p>
        </w:tc>
        <w:tc>
          <w:tcPr>
            <w:tcW w:w="3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r>
      <w:tr>
        <w:trPr>
          <w:trHeight w:val="30" w:hRule="atLeast"/>
        </w:trPr>
        <w:tc>
          <w:tcPr>
            <w:tcW w:w="0" w:type="auto"/>
            <w:vMerge/>
            <w:tcBorders>
              <w:top w:val="nil"/>
              <w:left w:val="single" w:color="cfcfcf" w:sz="8"/>
              <w:bottom w:val="single" w:color="cfcfcf" w:sz="8"/>
              <w:right w:val="single" w:color="cfcfcf" w:sz="8"/>
            </w:tcBorders>
          </w:tcP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0" w:type="auto"/>
            <w:gridSpan w:val="3"/>
            <w:tcBorders>
              <w:left w:val="single" w:color="cfcfcf" w:sz="8"/>
              <w:bottom w:val="single" w:color="cfcfcf" w:sz="8"/>
              <w:right w:val="single" w:color="cfcfcf" w:sz="8"/>
            </w:tcBorders>
            <w:vAlign w:val="center"/>
          </w:tcPr>
          <w:p>
            <w:pPr>
              <w:spacing w:after="0"/>
              <w:ind w:left="0"/>
              <w:jc w:val="left"/>
            </w:pPr>
          </w:p>
        </w:tc>
        <w:tc>
          <w:tcPr>
            <w:tcW w:w="0" w:type="auto"/>
            <w:gridSpan w:val="2"/>
            <w:tcBorders>
              <w:left w:val="single" w:color="cfcfcf" w:sz="8"/>
              <w:bottom w:val="single" w:color="cfcfcf" w:sz="8"/>
              <w:right w:val="single" w:color="cfcfcf" w:sz="8"/>
            </w:tcBorders>
            <w:vAlign w:val="center"/>
          </w:tcPr>
          <w:p>
            <w:pPr>
              <w:spacing w:after="0"/>
              <w:ind w:left="0"/>
              <w:jc w:val="left"/>
            </w:pP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 х 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 х 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 х 3</w:t>
            </w: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2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 х 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 х 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 х 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75/110</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 х 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 х 4</w:t>
            </w: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625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–/1090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365/370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480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–/855</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2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 х 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 х 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80/120</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 х 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 х 5</w:t>
            </w: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700/705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860/870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/1250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–/1525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–/1895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540/545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665/670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/965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–/1180</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–/1470</w:t>
            </w:r>
          </w:p>
        </w:tc>
        <w:tc>
          <w:tcPr>
            <w:tcW w:w="2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 х 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 х 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125/190</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 х 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 х 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 х 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 х 6</w:t>
            </w: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955/960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1125/1145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1480/1510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1810/1875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/1700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1740/1990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2110/2630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2470/3245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/2145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2240/2495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2720/3220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3170/3940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740/745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870/880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1150/1170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1425/1455</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/1315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1350/1555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1630/2055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1935/2515</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/1655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1720/1940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2100/2460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2500/3040</w:t>
            </w:r>
          </w:p>
        </w:tc>
        <w:tc>
          <w:tcPr>
            <w:tcW w:w="24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 х 3</w:t>
            </w:r>
          </w:p>
          <w:p>
            <w:pPr>
              <w:spacing w:after="14"/>
              <w:ind w:left="14"/>
              <w:jc w:val="left"/>
            </w:pPr>
            <w:r>
              <w:rPr>
                <w:rFonts w:hint="default" w:ascii="Times New Roman" w:hAnsi="Times New Roman"/>
                <w:b w:val="false"/>
                <w:i w:val="false"/>
                <w:color w:val="000000"/>
                <w:sz w:val="24"/>
              </w:rPr>
              <w:t>60 х 3</w:t>
            </w:r>
          </w:p>
          <w:p>
            <w:pPr>
              <w:spacing w:after="14"/>
              <w:ind w:left="14"/>
              <w:jc w:val="left"/>
            </w:pPr>
            <w:r>
              <w:rPr>
                <w:rFonts w:hint="default" w:ascii="Times New Roman" w:hAnsi="Times New Roman"/>
                <w:b w:val="false"/>
                <w:i w:val="false"/>
                <w:color w:val="000000"/>
                <w:sz w:val="24"/>
              </w:rPr>
              <w:t>70 х 3</w:t>
            </w:r>
          </w:p>
          <w:p>
            <w:pPr>
              <w:spacing w:after="0"/>
              <w:ind w:left="14"/>
              <w:jc w:val="left"/>
            </w:pPr>
            <w:r>
              <w:rPr>
                <w:rFonts w:hint="default" w:ascii="Times New Roman" w:hAnsi="Times New Roman"/>
                <w:b w:val="false"/>
                <w:i w:val="false"/>
                <w:color w:val="000000"/>
                <w:sz w:val="24"/>
              </w:rPr>
              <w:t>75 х 3</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155/230</w:t>
            </w:r>
          </w:p>
          <w:p>
            <w:pPr>
              <w:spacing w:after="14"/>
              <w:ind w:left="14"/>
              <w:jc w:val="left"/>
            </w:pPr>
            <w:r>
              <w:rPr>
                <w:rFonts w:hint="default" w:ascii="Times New Roman" w:hAnsi="Times New Roman"/>
                <w:b w:val="false"/>
                <w:i w:val="false"/>
                <w:color w:val="000000"/>
                <w:sz w:val="24"/>
              </w:rPr>
              <w:t>185/280</w:t>
            </w:r>
          </w:p>
          <w:p>
            <w:pPr>
              <w:spacing w:after="14"/>
              <w:ind w:left="14"/>
              <w:jc w:val="left"/>
            </w:pPr>
            <w:r>
              <w:rPr>
                <w:rFonts w:hint="default" w:ascii="Times New Roman" w:hAnsi="Times New Roman"/>
                <w:b w:val="false"/>
                <w:i w:val="false"/>
                <w:color w:val="000000"/>
                <w:sz w:val="24"/>
              </w:rPr>
              <w:t>215/320</w:t>
            </w:r>
          </w:p>
          <w:p>
            <w:pPr>
              <w:spacing w:after="0"/>
              <w:ind w:left="14"/>
              <w:jc w:val="left"/>
            </w:pPr>
            <w:r>
              <w:rPr>
                <w:rFonts w:hint="default" w:ascii="Times New Roman" w:hAnsi="Times New Roman"/>
                <w:b w:val="false"/>
                <w:i w:val="false"/>
                <w:color w:val="000000"/>
                <w:sz w:val="24"/>
              </w:rPr>
              <w:t>230/345</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 х 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 х 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 х 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 х 8</w:t>
            </w:r>
          </w:p>
        </w:tc>
        <w:tc>
          <w:tcPr>
            <w:tcW w:w="14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1320/1345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1690/1755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2080/2180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2400/2600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2160/2485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2620/3095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3060/3810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3400/4400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2790/3020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3370/3850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3930/4690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4340/5600</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1025/1040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1320/1355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1625/1690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1900/2040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1680/1840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2040/2400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2390/2945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2650/3350</w:t>
            </w:r>
          </w:p>
        </w:tc>
        <w:tc>
          <w:tcPr>
            <w:tcW w:w="1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2180/2330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2620/2975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3050/3620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3380/4250</w:t>
            </w:r>
          </w:p>
        </w:tc>
        <w:tc>
          <w:tcPr>
            <w:tcW w:w="24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80 х 3</w:t>
            </w:r>
          </w:p>
          <w:p>
            <w:pPr>
              <w:spacing w:after="14"/>
              <w:ind w:left="14"/>
              <w:jc w:val="left"/>
            </w:pPr>
            <w:r>
              <w:rPr>
                <w:rFonts w:hint="default" w:ascii="Times New Roman" w:hAnsi="Times New Roman"/>
                <w:b w:val="false"/>
                <w:i w:val="false"/>
                <w:color w:val="000000"/>
                <w:sz w:val="24"/>
              </w:rPr>
              <w:t>90 х 3</w:t>
            </w:r>
          </w:p>
          <w:p>
            <w:pPr>
              <w:spacing w:after="14"/>
              <w:ind w:left="14"/>
              <w:jc w:val="left"/>
            </w:pPr>
            <w:r>
              <w:rPr>
                <w:rFonts w:hint="default" w:ascii="Times New Roman" w:hAnsi="Times New Roman"/>
                <w:b w:val="false"/>
                <w:i w:val="false"/>
                <w:color w:val="000000"/>
                <w:sz w:val="24"/>
              </w:rPr>
              <w:t>100 х 3</w:t>
            </w:r>
          </w:p>
          <w:p>
            <w:pPr>
              <w:spacing w:after="0"/>
              <w:ind w:left="14"/>
              <w:jc w:val="left"/>
            </w:pPr>
            <w:r>
              <w:rPr>
                <w:rFonts w:hint="default" w:ascii="Times New Roman" w:hAnsi="Times New Roman"/>
                <w:b w:val="false"/>
                <w:i w:val="false"/>
                <w:color w:val="000000"/>
                <w:sz w:val="24"/>
              </w:rPr>
              <w:t>20 х 4</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245/365</w:t>
            </w:r>
          </w:p>
          <w:p>
            <w:pPr>
              <w:spacing w:after="14"/>
              <w:ind w:left="14"/>
              <w:jc w:val="left"/>
            </w:pPr>
            <w:r>
              <w:rPr>
                <w:rFonts w:hint="default" w:ascii="Times New Roman" w:hAnsi="Times New Roman"/>
                <w:b w:val="false"/>
                <w:i w:val="false"/>
                <w:color w:val="000000"/>
                <w:sz w:val="24"/>
              </w:rPr>
              <w:t>275/410</w:t>
            </w:r>
          </w:p>
          <w:p>
            <w:pPr>
              <w:spacing w:after="14"/>
              <w:ind w:left="14"/>
              <w:jc w:val="left"/>
            </w:pPr>
            <w:r>
              <w:rPr>
                <w:rFonts w:hint="default" w:ascii="Times New Roman" w:hAnsi="Times New Roman"/>
                <w:b w:val="false"/>
                <w:i w:val="false"/>
                <w:color w:val="000000"/>
                <w:sz w:val="24"/>
              </w:rPr>
              <w:t>305/460</w:t>
            </w:r>
          </w:p>
          <w:p>
            <w:pPr>
              <w:spacing w:after="0"/>
              <w:ind w:left="14"/>
              <w:jc w:val="left"/>
            </w:pPr>
            <w:r>
              <w:rPr>
                <w:rFonts w:hint="default" w:ascii="Times New Roman" w:hAnsi="Times New Roman"/>
                <w:b w:val="false"/>
                <w:i w:val="false"/>
                <w:color w:val="000000"/>
                <w:sz w:val="24"/>
              </w:rPr>
              <w:t>70/115</w:t>
            </w:r>
          </w:p>
        </w:tc>
      </w:tr>
    </w:tbl>
    <w:bookmarkEnd w:id="4915"/>
    <w:bookmarkStart w:name="637606371" w:id="49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числителе приведены значения переменного тока, в знаменателе – постоянного.</w:t>
      </w:r>
    </w:p>
    <w:bookmarkEnd w:id="4916"/>
    <w:bookmarkStart w:name="637606372" w:id="4917"/>
    <w:p>
      <w:pPr>
        <w:spacing w:before="120" w:after="120" w:line="240"/>
        <w:ind w:left="0"/>
        <w:jc w:val="both"/>
      </w:pPr>
      <w:r>
        <w:rPr>
          <w:rFonts w:hint="default" w:ascii="Times New Roman" w:hAnsi="Times New Roman"/>
          <w:b/>
          <w:i w:val="false"/>
          <w:color w:val="000000"/>
          <w:sz w:val="24"/>
        </w:rPr>
        <w:t>Допустимый длительный ток для неизолированных бронзовых и сталебронзовых проводов</w:t>
      </w:r>
    </w:p>
    <w:bookmarkEnd w:id="4917"/>
    <w:bookmarkStart w:name="637606373" w:id="491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32</w:t>
      </w:r>
    </w:p>
    <w:bookmarkEnd w:id="4918"/>
    <w:bookmarkStart w:name="637606374" w:id="4919"/>
    <w:tbl>
      <w:tblPr>
        <w:tblW w:w="0" w:type="auto"/>
        <w:tblCellSpacing w:w="0" w:type="auto"/>
        <w:tblBorders>
          <w:top w:val="none"/>
          <w:left w:val="none"/>
          <w:bottom w:val="none"/>
          <w:right w:val="none"/>
          <w:insideH w:val="none"/>
          <w:insideV w:val="none"/>
        </w:tblBorders>
        <w:tblLayout/>
      </w:tblPr>
      <w:tblGrid>
        <w:gridCol w:w="5120"/>
        <w:gridCol w:w="5760"/>
        <w:gridCol w:w="5120"/>
      </w:tblGrid>
      <w:tr>
        <w:trPr>
          <w:trHeight w:val="30" w:hRule="atLeast"/>
        </w:trPr>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Провод</w:t>
            </w: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Марка провода</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 А</w:t>
            </w:r>
          </w:p>
        </w:tc>
      </w:tr>
      <w:tr>
        <w:trPr>
          <w:trHeight w:val="30" w:hRule="atLeast"/>
        </w:trPr>
        <w:tc>
          <w:tcPr>
            <w:tcW w:w="512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Бронзовый</w:t>
            </w: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Б-50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215</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Б-70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Б-95</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Б-120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Б-150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Б-185</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Б-240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Б-300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w:t>
            </w:r>
          </w:p>
        </w:tc>
      </w:tr>
      <w:tr>
        <w:trPr>
          <w:trHeight w:val="30" w:hRule="atLeast"/>
        </w:trPr>
        <w:tc>
          <w:tcPr>
            <w:tcW w:w="512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Сталебронзовый</w:t>
            </w: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БС-185</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515</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БС-240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БС-300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БС-400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890</w:t>
            </w:r>
          </w:p>
        </w:tc>
      </w:tr>
      <w:tr>
        <w:trPr>
          <w:trHeight w:val="30" w:hRule="atLeast"/>
        </w:trPr>
        <w:tc>
          <w:tcPr>
            <w:tcW w:w="0" w:type="auto"/>
            <w:vMerge/>
            <w:tcBorders>
              <w:top w:val="nil"/>
              <w:left w:val="single" w:color="cfcfcf" w:sz="8"/>
              <w:bottom w:val="single" w:color="cfcfcf" w:sz="8"/>
              <w:right w:val="single" w:color="cfcfcf" w:sz="8"/>
            </w:tcBorders>
          </w:tcPr>
          <w:p/>
        </w:tc>
        <w:tc>
          <w:tcPr>
            <w:tcW w:w="5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БС-500</w:t>
            </w:r>
          </w:p>
        </w:tc>
        <w:tc>
          <w:tcPr>
            <w:tcW w:w="5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r>
    </w:tbl>
    <w:bookmarkEnd w:id="4919"/>
    <w:bookmarkStart w:name="637606375" w:id="4920"/>
    <w:p>
      <w:pPr>
        <w:spacing w:before="120" w:after="120" w:line="240"/>
        <w:ind w:left="0"/>
        <w:jc w:val="both"/>
      </w:pPr>
      <w:r>
        <w:rPr>
          <w:rFonts w:hint="default" w:ascii="Times New Roman" w:hAnsi="Times New Roman"/>
          <w:b w:val="false"/>
          <w:i w:val="false"/>
          <w:color w:val="000000"/>
          <w:sz w:val="24"/>
        </w:rPr>
        <w:t xml:space="preserve">* Токи даны для бронзы с удельным сопротивлением </w:t>
      </w:r>
      <w:r>
        <w:rPr>
          <w:rFonts w:hint="default" w:ascii="Times New Roman" w:hAnsi="Times New Roman"/>
          <w:b w:val="false"/>
          <w:i/>
          <w:color w:val="000000"/>
          <w:sz w:val="24"/>
        </w:rPr>
        <w:t>Р</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vertAlign w:val="subscript"/>
        </w:rPr>
        <w:t>20</w:t>
      </w:r>
      <w:r>
        <w:rPr>
          <w:rFonts w:hint="default" w:ascii="Times New Roman" w:hAnsi="Times New Roman"/>
          <w:b w:val="false"/>
          <w:i w:val="false"/>
          <w:color w:val="000000"/>
          <w:sz w:val="24"/>
        </w:rPr>
        <w:t xml:space="preserve"> = 0,03 Ом</w:t>
      </w:r>
      <w:r>
        <w:rPr>
          <w:rFonts w:hint="default" w:ascii="Times New Roman" w:hAnsi="Times New Roman"/>
          <w:b w:val="false"/>
          <w:i w:val="false"/>
          <w:color w:val="000000"/>
          <w:vertAlign w:val="superscript"/>
        </w:rPr>
        <w:t>.</w:t>
      </w:r>
      <w:r>
        <w:rPr>
          <w:rFonts w:hint="default" w:ascii="Times New Roman" w:hAnsi="Times New Roman"/>
          <w:b w:val="false"/>
          <w:i w:val="false"/>
          <w:color w:val="000000"/>
          <w:sz w:val="24"/>
        </w:rPr>
        <w:t xml:space="preserve"> мм</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/м</w:t>
      </w:r>
    </w:p>
    <w:bookmarkEnd w:id="4920"/>
    <w:bookmarkStart w:name="637606376" w:id="4921"/>
    <w:p>
      <w:pPr>
        <w:spacing w:before="120" w:after="120" w:line="240"/>
        <w:ind w:left="0"/>
        <w:jc w:val="both"/>
      </w:pPr>
      <w:r>
        <w:rPr>
          <w:rFonts w:hint="default" w:ascii="Times New Roman" w:hAnsi="Times New Roman"/>
          <w:b/>
          <w:i w:val="false"/>
          <w:color w:val="000000"/>
          <w:sz w:val="24"/>
        </w:rPr>
        <w:t>Допустимый длительный ток для неизолированных стальных проводов</w:t>
      </w:r>
    </w:p>
    <w:bookmarkEnd w:id="4921"/>
    <w:bookmarkStart w:name="637606377" w:id="492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33</w:t>
      </w:r>
    </w:p>
    <w:bookmarkEnd w:id="4922"/>
    <w:bookmarkStart w:name="637606378" w:id="4923"/>
    <w:tbl>
      <w:tblPr>
        <w:tblW w:w="18660" w:type="auto"/>
        <w:tblCellSpacing w:w="0" w:type="auto"/>
        <w:tblBorders>
          <w:top w:val="none"/>
          <w:left w:val="none"/>
          <w:bottom w:val="none"/>
          <w:right w:val="none"/>
          <w:insideH w:val="none"/>
          <w:insideV w:val="none"/>
        </w:tblBorders>
        <w:tblLayout/>
      </w:tblPr>
      <w:tblGrid>
        <w:gridCol w:w="3780"/>
        <w:gridCol w:w="3718"/>
        <w:gridCol w:w="4222"/>
        <w:gridCol w:w="4280"/>
      </w:tblGrid>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Марка провода</w:t>
            </w:r>
          </w:p>
        </w:tc>
        <w:tc>
          <w:tcPr>
            <w:tcW w:w="37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Марка провода</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w:t>
            </w:r>
          </w:p>
        </w:tc>
      </w:tr>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ПСО-3</w:t>
            </w:r>
          </w:p>
        </w:tc>
        <w:tc>
          <w:tcPr>
            <w:tcW w:w="37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ПС-25</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ПСО-3,5</w:t>
            </w:r>
          </w:p>
        </w:tc>
        <w:tc>
          <w:tcPr>
            <w:tcW w:w="37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w:t>
            </w: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ПС-35</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r>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ПСО-4</w:t>
            </w:r>
          </w:p>
        </w:tc>
        <w:tc>
          <w:tcPr>
            <w:tcW w:w="37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ПС-50</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r>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ПСО-5</w:t>
            </w:r>
          </w:p>
        </w:tc>
        <w:tc>
          <w:tcPr>
            <w:tcW w:w="37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ПС-70</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r>
      <w:tr>
        <w:trPr>
          <w:trHeight w:val="30" w:hRule="atLeast"/>
        </w:trPr>
        <w:tc>
          <w:tcPr>
            <w:tcW w:w="37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3718" w:type="dxa"/>
            <w:tcBorders>
              <w:top w:val="single" w:color="cfcfcf" w:sz="8"/>
              <w:left w:val="single" w:color="cfcfcf" w:sz="8"/>
              <w:bottom w:val="single" w:color="cfcfcf" w:sz="8"/>
              <w:right w:val="single" w:color="cfcfcf" w:sz="8"/>
            </w:tcBorders>
            <w:vAlign w:val="center"/>
          </w:tcPr>
          <w:p>
            <w:pPr>
              <w:spacing w:after="0"/>
              <w:ind w:left="0"/>
              <w:jc w:val="left"/>
            </w:pPr>
          </w:p>
        </w:tc>
        <w:tc>
          <w:tcPr>
            <w:tcW w:w="42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ПС-95</w:t>
            </w:r>
          </w:p>
        </w:tc>
        <w:tc>
          <w:tcPr>
            <w:tcW w:w="4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r>
    </w:tbl>
    <w:bookmarkEnd w:id="4923"/>
    <w:bookmarkStart w:name="637606379" w:id="4924"/>
    <w:p>
      <w:pPr>
        <w:spacing w:before="120" w:after="120" w:line="240"/>
        <w:ind w:left="0"/>
        <w:jc w:val="both"/>
      </w:pPr>
      <w:r>
        <w:rPr>
          <w:rFonts w:hint="default" w:ascii="Times New Roman" w:hAnsi="Times New Roman"/>
          <w:b/>
          <w:i w:val="false"/>
          <w:color w:val="000000"/>
          <w:sz w:val="24"/>
        </w:rPr>
        <w:t>Допустимый длительный ток для четырехполосных шин с</w:t>
      </w:r>
      <w:r>
        <w:br/>
      </w:r>
      <w:r>
        <w:rPr>
          <w:rFonts w:hint="default" w:ascii="Times New Roman" w:hAnsi="Times New Roman"/>
          <w:b/>
          <w:i w:val="false"/>
          <w:color w:val="000000"/>
          <w:sz w:val="24"/>
        </w:rPr>
        <w:t>
расположением полос по сторонам квадрата («полый пакет»)</w:t>
      </w:r>
    </w:p>
    <w:bookmarkEnd w:id="4924"/>
    <w:bookmarkStart w:name="637606380" w:id="492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34</w:t>
      </w:r>
    </w:p>
    <w:bookmarkEnd w:id="4925"/>
    <w:bookmarkStart w:name="637606381" w:id="4926"/>
    <w:p>
      <w:pPr>
        <w:spacing w:before="120" w:after="120" w:line="240"/>
        <w:ind w:left="0"/>
        <w:jc w:val="both"/>
      </w:pPr>
      <w:r>
        <w:drawing>
          <wp:inline distT="0" distB="0" distL="0" distR="0">
            <wp:extent cx="25400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540000" cy="2603500"/>
                    </a:xfrm>
                    <a:prstGeom prst="rect">
                      <a:avLst/>
                    </a:prstGeom>
                  </pic:spPr>
                </pic:pic>
              </a:graphicData>
            </a:graphic>
          </wp:inline>
        </w:drawing>
      </w:r>
    </w:p>
    <w:bookmarkEnd w:id="4926"/>
    <w:bookmarkStart w:name="637606382" w:id="4927"/>
    <w:tbl>
      <w:tblPr>
        <w:tblW w:w="18660" w:type="auto"/>
        <w:tblCellSpacing w:w="0" w:type="auto"/>
        <w:tblBorders>
          <w:top w:val="none"/>
          <w:left w:val="none"/>
          <w:bottom w:val="none"/>
          <w:right w:val="none"/>
          <w:insideH w:val="none"/>
          <w:insideV w:val="none"/>
        </w:tblBorders>
        <w:tblLayout/>
      </w:tblPr>
      <w:tblGrid>
        <w:gridCol w:w="656"/>
        <w:gridCol w:w="526"/>
        <w:gridCol w:w="676"/>
        <w:gridCol w:w="676"/>
        <w:gridCol w:w="6052"/>
        <w:gridCol w:w="238"/>
        <w:gridCol w:w="6056"/>
        <w:gridCol w:w="260"/>
        <w:gridCol w:w="860"/>
      </w:tblGrid>
      <w:tr>
        <w:trPr>
          <w:trHeight w:val="30" w:hRule="atLeast"/>
        </w:trPr>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Размеры,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Поперечное сечение четырехполосной шины,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на пакет шин</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h</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B</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h</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H</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медных</w:t>
            </w:r>
          </w:p>
        </w:tc>
        <w:tc>
          <w:tcPr>
            <w:tcW w:w="0" w:type="auto"/>
            <w:gridSpan w:val="2"/>
            <w:vMerge/>
            <w:tcBorders>
              <w:top w:val="nil"/>
              <w:left w:val="single" w:color="cfcfcf" w:sz="8"/>
              <w:bottom w:val="single" w:color="cfcfcf" w:sz="8"/>
              <w:right w:val="single" w:color="cfcfcf" w:sz="8"/>
            </w:tcBorders>
          </w:tcPr>
          <w:p/>
        </w:tc>
        <w:tc>
          <w:tcPr>
            <w:tcW w:w="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алюминиевых</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5750</w:t>
            </w:r>
          </w:p>
        </w:tc>
        <w:tc>
          <w:tcPr>
            <w:tcW w:w="8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4550</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144</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6400</w:t>
            </w:r>
          </w:p>
        </w:tc>
        <w:tc>
          <w:tcPr>
            <w:tcW w:w="8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5100</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7000</w:t>
            </w:r>
          </w:p>
        </w:tc>
        <w:tc>
          <w:tcPr>
            <w:tcW w:w="8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5550</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164</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7700</w:t>
            </w:r>
          </w:p>
        </w:tc>
        <w:tc>
          <w:tcPr>
            <w:tcW w:w="8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6200</w:t>
            </w:r>
          </w:p>
        </w:tc>
      </w:tr>
      <w:tr>
        <w:trPr>
          <w:trHeight w:val="30" w:hRule="atLeast"/>
        </w:trPr>
        <w:tc>
          <w:tcPr>
            <w:tcW w:w="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5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184</w:t>
            </w:r>
          </w:p>
        </w:tc>
        <w:tc>
          <w:tcPr>
            <w:tcW w:w="6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9050</w:t>
            </w:r>
          </w:p>
        </w:tc>
        <w:tc>
          <w:tcPr>
            <w:tcW w:w="8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7300</w:t>
            </w:r>
          </w:p>
        </w:tc>
      </w:tr>
    </w:tbl>
    <w:bookmarkEnd w:id="4927"/>
    <w:bookmarkStart w:name="637606383" w:id="4928"/>
    <w:p>
      <w:pPr>
        <w:spacing w:before="120" w:after="120" w:line="240"/>
        <w:ind w:left="0"/>
        <w:jc w:val="both"/>
      </w:pPr>
      <w:r>
        <w:rPr>
          <w:rFonts w:hint="default" w:ascii="Times New Roman" w:hAnsi="Times New Roman"/>
          <w:b/>
          <w:i w:val="false"/>
          <w:color w:val="000000"/>
          <w:sz w:val="24"/>
        </w:rPr>
        <w:t>Допустимый длительный ток для шин коробчатого сечения</w:t>
      </w:r>
    </w:p>
    <w:bookmarkEnd w:id="4928"/>
    <w:bookmarkStart w:name="637606384" w:id="492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35</w:t>
      </w:r>
    </w:p>
    <w:bookmarkEnd w:id="4929"/>
    <w:bookmarkStart w:name="637606385" w:id="4930"/>
    <w:p>
      <w:pPr>
        <w:spacing w:before="120" w:after="120" w:line="240"/>
        <w:ind w:left="0"/>
        <w:jc w:val="both"/>
      </w:pPr>
      <w:r>
        <w:drawing>
          <wp:inline distT="0" distB="0" distL="0" distR="0">
            <wp:extent cx="22987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98700" cy="2387600"/>
                    </a:xfrm>
                    <a:prstGeom prst="rect">
                      <a:avLst/>
                    </a:prstGeom>
                  </pic:spPr>
                </pic:pic>
              </a:graphicData>
            </a:graphic>
          </wp:inline>
        </w:drawing>
      </w:r>
    </w:p>
    <w:bookmarkEnd w:id="4930"/>
    <w:bookmarkStart w:name="637606386" w:id="4931"/>
    <w:tbl>
      <w:tblPr>
        <w:tblW w:w="18660" w:type="auto"/>
        <w:tblCellSpacing w:w="0" w:type="auto"/>
        <w:tblBorders>
          <w:top w:val="none"/>
          <w:left w:val="none"/>
          <w:bottom w:val="none"/>
          <w:right w:val="none"/>
          <w:insideH w:val="none"/>
          <w:insideV w:val="none"/>
        </w:tblBorders>
        <w:tblLayout/>
      </w:tblPr>
      <w:tblGrid>
        <w:gridCol w:w="653"/>
        <w:gridCol w:w="672"/>
        <w:gridCol w:w="748"/>
        <w:gridCol w:w="522"/>
        <w:gridCol w:w="5882"/>
        <w:gridCol w:w="232"/>
        <w:gridCol w:w="6031"/>
        <w:gridCol w:w="254"/>
        <w:gridCol w:w="1006"/>
      </w:tblGrid>
      <w:tr>
        <w:trPr>
          <w:trHeight w:val="30" w:hRule="atLeast"/>
        </w:trPr>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Размеры, мм</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Поперечное сечение одной шины,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на две шины</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a</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b</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c</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r</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медные</w:t>
            </w:r>
          </w:p>
        </w:tc>
        <w:tc>
          <w:tcPr>
            <w:tcW w:w="0" w:type="auto"/>
            <w:gridSpan w:val="2"/>
            <w:vMerge/>
            <w:tcBorders>
              <w:top w:val="nil"/>
              <w:left w:val="single" w:color="cfcfcf" w:sz="8"/>
              <w:bottom w:val="single" w:color="cfcfcf" w:sz="8"/>
              <w:right w:val="single" w:color="cfcfcf" w:sz="8"/>
            </w:tcBorders>
          </w:tcPr>
          <w:p/>
        </w:tc>
        <w:tc>
          <w:tcPr>
            <w:tcW w:w="2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алюминиевые</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2730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2670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3620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2820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4640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5650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175</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8550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6430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7550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8830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12500</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10300</w:t>
            </w:r>
          </w:p>
        </w:tc>
      </w:tr>
      <w:tr>
        <w:trPr>
          <w:trHeight w:val="30" w:hRule="atLeast"/>
        </w:trPr>
        <w:tc>
          <w:tcPr>
            <w:tcW w:w="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5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0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10800</w:t>
            </w:r>
          </w:p>
        </w:tc>
      </w:tr>
    </w:tbl>
    <w:bookmarkEnd w:id="4931"/>
    <w:bookmarkStart w:name="637606387" w:id="4932"/>
    <w:p>
      <w:pPr>
        <w:spacing w:before="120" w:after="120" w:line="240"/>
        <w:ind w:left="0"/>
        <w:jc w:val="both"/>
      </w:pPr>
      <w:r>
        <w:rPr>
          <w:rFonts w:hint="default" w:ascii="Times New Roman" w:hAnsi="Times New Roman"/>
          <w:b/>
          <w:i w:val="false"/>
          <w:color w:val="000000"/>
          <w:sz w:val="24"/>
        </w:rPr>
        <w:t>Экономическая плотность тока</w:t>
      </w:r>
    </w:p>
    <w:bookmarkEnd w:id="4932"/>
    <w:bookmarkStart w:name="637606388" w:id="493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36</w:t>
      </w:r>
    </w:p>
    <w:bookmarkEnd w:id="4933"/>
    <w:bookmarkStart w:name="637606389" w:id="4934"/>
    <w:tbl>
      <w:tblPr>
        <w:tblW w:w="18660" w:type="auto"/>
        <w:tblCellSpacing w:w="0" w:type="auto"/>
        <w:tblBorders>
          <w:top w:val="none"/>
          <w:left w:val="none"/>
          <w:bottom w:val="none"/>
          <w:right w:val="none"/>
          <w:insideH w:val="none"/>
          <w:insideV w:val="none"/>
        </w:tblBorders>
        <w:tblLayout/>
      </w:tblPr>
      <w:tblGrid>
        <w:gridCol w:w="6308"/>
        <w:gridCol w:w="3125"/>
        <w:gridCol w:w="3141"/>
        <w:gridCol w:w="3426"/>
      </w:tblGrid>
      <w:tr>
        <w:trPr>
          <w:trHeight w:val="30" w:hRule="atLeast"/>
        </w:trPr>
        <w:tc>
          <w:tcPr>
            <w:tcW w:w="630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Проводники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Экономическая плотность тока, А/мм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при числе часов использования максимума нагрузки в год</w:t>
            </w:r>
          </w:p>
        </w:tc>
      </w:tr>
      <w:tr>
        <w:trPr>
          <w:trHeight w:val="30" w:hRule="atLeast"/>
        </w:trPr>
        <w:tc>
          <w:tcPr>
            <w:tcW w:w="0" w:type="auto"/>
            <w:vMerge/>
            <w:tcBorders>
              <w:top w:val="nil"/>
              <w:left w:val="single" w:color="cfcfcf" w:sz="8"/>
              <w:bottom w:val="single" w:color="cfcfcf" w:sz="8"/>
              <w:right w:val="single" w:color="cfcfcf" w:sz="8"/>
            </w:tcBorders>
          </w:tcPr>
          <w:p/>
        </w:tc>
        <w:tc>
          <w:tcPr>
            <w:tcW w:w="3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3000</w:t>
            </w:r>
          </w:p>
        </w:tc>
        <w:tc>
          <w:tcPr>
            <w:tcW w:w="3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3000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5000</w:t>
            </w:r>
          </w:p>
        </w:tc>
        <w:tc>
          <w:tcPr>
            <w:tcW w:w="34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5000</w:t>
            </w:r>
          </w:p>
        </w:tc>
      </w:tr>
      <w:tr>
        <w:trPr>
          <w:trHeight w:val="30" w:hRule="atLeast"/>
        </w:trPr>
        <w:tc>
          <w:tcPr>
            <w:tcW w:w="63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Неизолированные провода и шины:</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медные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алюминиевые</w:t>
            </w:r>
          </w:p>
        </w:tc>
        <w:tc>
          <w:tcPr>
            <w:tcW w:w="3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w:t>
            </w:r>
          </w:p>
        </w:tc>
        <w:tc>
          <w:tcPr>
            <w:tcW w:w="3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w:t>
            </w:r>
          </w:p>
        </w:tc>
        <w:tc>
          <w:tcPr>
            <w:tcW w:w="34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r>
      <w:tr>
        <w:trPr>
          <w:trHeight w:val="30" w:hRule="atLeast"/>
        </w:trPr>
        <w:tc>
          <w:tcPr>
            <w:tcW w:w="63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Кабели с бумажной и провода с резиновой и поливинилхлоридной изоляцией с жилами: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медными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алюминиевыми</w:t>
            </w:r>
          </w:p>
        </w:tc>
        <w:tc>
          <w:tcPr>
            <w:tcW w:w="3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w:t>
            </w:r>
          </w:p>
        </w:tc>
        <w:tc>
          <w:tcPr>
            <w:tcW w:w="3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w:t>
            </w:r>
          </w:p>
        </w:tc>
        <w:tc>
          <w:tcPr>
            <w:tcW w:w="34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w:t>
            </w:r>
          </w:p>
        </w:tc>
      </w:tr>
      <w:tr>
        <w:trPr>
          <w:trHeight w:val="30" w:hRule="atLeast"/>
        </w:trPr>
        <w:tc>
          <w:tcPr>
            <w:tcW w:w="63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Кабели с резиновой и пластмассовой изоляцией с жилами: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медными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алюминиевыми</w:t>
            </w:r>
          </w:p>
        </w:tc>
        <w:tc>
          <w:tcPr>
            <w:tcW w:w="3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w:t>
            </w:r>
          </w:p>
        </w:tc>
        <w:tc>
          <w:tcPr>
            <w:tcW w:w="3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w:t>
            </w:r>
          </w:p>
        </w:tc>
        <w:tc>
          <w:tcPr>
            <w:tcW w:w="34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w:t>
            </w:r>
          </w:p>
        </w:tc>
      </w:tr>
    </w:tbl>
    <w:bookmarkEnd w:id="4934"/>
    <w:bookmarkStart w:name="637606390" w:id="4935"/>
    <w:p>
      <w:pPr>
        <w:spacing w:before="120" w:after="120" w:line="240"/>
        <w:ind w:left="0"/>
        <w:jc w:val="both"/>
      </w:pPr>
      <w:r>
        <w:rPr>
          <w:rFonts w:hint="default" w:ascii="Times New Roman" w:hAnsi="Times New Roman"/>
          <w:b/>
          <w:i w:val="false"/>
          <w:color w:val="000000"/>
          <w:sz w:val="24"/>
        </w:rPr>
        <w:t>Класс точности счетчиков коммерческого учета</w:t>
      </w:r>
    </w:p>
    <w:bookmarkEnd w:id="4935"/>
    <w:bookmarkStart w:name="637606391" w:id="493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37</w:t>
      </w:r>
    </w:p>
    <w:bookmarkEnd w:id="4936"/>
    <w:bookmarkStart w:name="637606392" w:id="4937"/>
    <w:tbl>
      <w:tblPr>
        <w:tblW w:w="18660" w:type="auto"/>
        <w:tblCellSpacing w:w="0" w:type="auto"/>
        <w:tblBorders>
          <w:top w:val="none"/>
          <w:left w:val="none"/>
          <w:bottom w:val="none"/>
          <w:right w:val="none"/>
          <w:insideH w:val="none"/>
          <w:insideV w:val="none"/>
        </w:tblBorders>
        <w:tblLayout/>
      </w:tblPr>
      <w:tblGrid>
        <w:gridCol w:w="2508"/>
        <w:gridCol w:w="4221"/>
        <w:gridCol w:w="3556"/>
        <w:gridCol w:w="2656"/>
        <w:gridCol w:w="3059"/>
      </w:tblGrid>
      <w:tr>
        <w:trPr>
          <w:trHeight w:val="30" w:hRule="atLeast"/>
        </w:trPr>
        <w:tc>
          <w:tcPr>
            <w:tcW w:w="250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присоединений</w:t>
            </w:r>
          </w:p>
        </w:tc>
      </w:tr>
      <w:tr>
        <w:trPr>
          <w:trHeight w:val="30" w:hRule="atLeast"/>
        </w:trPr>
        <w:tc>
          <w:tcPr>
            <w:tcW w:w="0" w:type="auto"/>
            <w:vMerge/>
            <w:tcBorders>
              <w:top w:val="nil"/>
              <w:left w:val="single" w:color="cfcfcf" w:sz="8"/>
              <w:bottom w:val="single" w:color="cfcfcf" w:sz="8"/>
              <w:right w:val="single" w:color="cfcfcf" w:sz="8"/>
            </w:tcBorders>
          </w:tcPr>
          <w:p/>
        </w:tc>
        <w:tc>
          <w:tcPr>
            <w:tcW w:w="42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Межгосударственные ВЛ, ВЛ 500 кВ и выше, генераторы 50 МВт и выше, трансформаторы 63 МВА и выше</w:t>
            </w:r>
          </w:p>
        </w:tc>
        <w:tc>
          <w:tcPr>
            <w:tcW w:w="35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ВЛ 110 – 220 кВ, генераторы до 50 МВт, трансформаторы 10 – 63 МВА</w:t>
            </w:r>
          </w:p>
        </w:tc>
        <w:tc>
          <w:tcPr>
            <w:tcW w:w="2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ВЛ 35 – 6 кВ</w:t>
            </w:r>
          </w:p>
        </w:tc>
        <w:tc>
          <w:tcPr>
            <w:tcW w:w="30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низкого напряжения</w:t>
            </w:r>
          </w:p>
        </w:tc>
      </w:tr>
      <w:tr>
        <w:trPr>
          <w:trHeight w:val="30" w:hRule="atLeast"/>
        </w:trPr>
        <w:tc>
          <w:tcPr>
            <w:tcW w:w="25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Счетчик активной энергии</w:t>
            </w:r>
          </w:p>
        </w:tc>
        <w:tc>
          <w:tcPr>
            <w:tcW w:w="42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35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2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(0,5)*</w:t>
            </w:r>
          </w:p>
        </w:tc>
        <w:tc>
          <w:tcPr>
            <w:tcW w:w="30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r>
        <w:trPr>
          <w:trHeight w:val="30" w:hRule="atLeast"/>
        </w:trPr>
        <w:tc>
          <w:tcPr>
            <w:tcW w:w="25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Счетчик реактивной энергии</w:t>
            </w:r>
          </w:p>
        </w:tc>
        <w:tc>
          <w:tcPr>
            <w:tcW w:w="42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35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26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30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r>
    </w:tbl>
    <w:bookmarkEnd w:id="4937"/>
    <w:bookmarkStart w:name="637606393" w:id="49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Значение, указанное в скобках – рекомендуемое при строительстве и модернизации оборудования.</w:t>
      </w:r>
    </w:p>
    <w:bookmarkEnd w:id="4938"/>
    <w:bookmarkStart w:name="637606394" w:id="4939"/>
    <w:p>
      <w:pPr>
        <w:spacing w:before="120" w:after="120" w:line="240"/>
        <w:ind w:left="0"/>
        <w:jc w:val="both"/>
      </w:pPr>
      <w:r>
        <w:rPr>
          <w:rFonts w:hint="default" w:ascii="Times New Roman" w:hAnsi="Times New Roman"/>
          <w:b/>
          <w:i w:val="false"/>
          <w:color w:val="000000"/>
          <w:sz w:val="24"/>
        </w:rPr>
        <w:t>Допустимая погрешность комплекса коммерческого учета</w:t>
      </w:r>
    </w:p>
    <w:bookmarkEnd w:id="4939"/>
    <w:bookmarkStart w:name="637606395" w:id="494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38</w:t>
      </w:r>
    </w:p>
    <w:bookmarkEnd w:id="4940"/>
    <w:bookmarkStart w:name="637606396" w:id="4941"/>
    <w:tbl>
      <w:tblPr>
        <w:tblW w:w="18660" w:type="auto"/>
        <w:tblCellSpacing w:w="0" w:type="auto"/>
        <w:tblBorders>
          <w:top w:val="none"/>
          <w:left w:val="none"/>
          <w:bottom w:val="none"/>
          <w:right w:val="none"/>
          <w:insideH w:val="none"/>
          <w:insideV w:val="none"/>
        </w:tblBorders>
        <w:tblLayout/>
      </w:tblPr>
      <w:tblGrid>
        <w:gridCol w:w="2781"/>
        <w:gridCol w:w="2585"/>
        <w:gridCol w:w="3792"/>
        <w:gridCol w:w="2874"/>
        <w:gridCol w:w="1633"/>
        <w:gridCol w:w="2335"/>
      </w:tblGrid>
      <w:tr>
        <w:trPr>
          <w:trHeight w:val="30" w:hRule="atLeast"/>
        </w:trPr>
        <w:tc>
          <w:tcPr>
            <w:tcW w:w="278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в процентном отношении от номинального</w:t>
            </w:r>
          </w:p>
        </w:tc>
        <w:tc>
          <w:tcPr>
            <w:tcW w:w="258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Коэффициент мощности</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Пределы погрешностей для присоединений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номинальными величинами</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Межгосударственные ВЛ, ВЛ 500 кВ и выше, генераторы 50 МВт и выше</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ВЛ 220–110 кВ, генераторы до 50 МВт</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35–6 кВ</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низкого напряжения</w:t>
            </w:r>
          </w:p>
        </w:tc>
      </w:tr>
      <w:tr>
        <w:trPr>
          <w:trHeight w:val="30" w:hRule="atLeast"/>
        </w:trPr>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Активная энергия</w:t>
            </w: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 до 120%</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0,8%</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1,1%</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1,6%</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2,5%</w:t>
            </w: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 до 20%</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1 %</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1,1%</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1,6%</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2,5%</w:t>
            </w: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 до 5%</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1,5%</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2,1%</w:t>
            </w:r>
          </w:p>
        </w:tc>
        <w:tc>
          <w:tcPr>
            <w:tcW w:w="2335"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 до 120%</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0,5 инд.</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0,5 емк.</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1,1 %</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1,1%</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1,6%</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2,5%</w:t>
            </w:r>
          </w:p>
        </w:tc>
      </w:tr>
      <w:tr>
        <w:trPr>
          <w:trHeight w:val="30" w:hRule="atLeast"/>
        </w:trPr>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Реактивная энергия</w:t>
            </w: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120%</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4,0%</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4,0%</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4,0%</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4,0%</w:t>
            </w:r>
          </w:p>
        </w:tc>
      </w:tr>
      <w:tr>
        <w:trPr>
          <w:trHeight w:val="30" w:hRule="atLeast"/>
        </w:trPr>
        <w:tc>
          <w:tcPr>
            <w:tcW w:w="27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120%</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0,866 инд. до 0,866 емк.</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5,0%</w:t>
            </w:r>
          </w:p>
        </w:tc>
        <w:tc>
          <w:tcPr>
            <w:tcW w:w="28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5,0%</w:t>
            </w:r>
          </w:p>
        </w:tc>
        <w:tc>
          <w:tcPr>
            <w:tcW w:w="1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5,0%</w:t>
            </w:r>
          </w:p>
        </w:tc>
        <w:tc>
          <w:tcPr>
            <w:tcW w:w="23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5,0%</w:t>
            </w:r>
          </w:p>
        </w:tc>
      </w:tr>
    </w:tbl>
    <w:bookmarkEnd w:id="4941"/>
    <w:bookmarkStart w:name="637606397" w:id="4942"/>
    <w:p>
      <w:pPr>
        <w:spacing w:before="120" w:after="120" w:line="240"/>
        <w:ind w:left="0"/>
        <w:jc w:val="both"/>
      </w:pPr>
      <w:r>
        <w:rPr>
          <w:rFonts w:hint="default" w:ascii="Times New Roman" w:hAnsi="Times New Roman"/>
          <w:b/>
          <w:i w:val="false"/>
          <w:color w:val="000000"/>
          <w:sz w:val="24"/>
        </w:rPr>
        <w:t>Класс точности трансформаторов для присоединения счетчиков коммерческого учета электроэнергии</w:t>
      </w:r>
    </w:p>
    <w:bookmarkEnd w:id="4942"/>
    <w:bookmarkStart w:name="637606398" w:id="494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39</w:t>
      </w:r>
    </w:p>
    <w:bookmarkEnd w:id="4943"/>
    <w:bookmarkStart w:name="637606399" w:id="4944"/>
    <w:tbl>
      <w:tblPr>
        <w:tblW w:w="18660" w:type="auto"/>
        <w:tblCellSpacing w:w="0" w:type="auto"/>
        <w:tblBorders>
          <w:top w:val="none"/>
          <w:left w:val="none"/>
          <w:bottom w:val="none"/>
          <w:right w:val="none"/>
          <w:insideH w:val="none"/>
          <w:insideV w:val="none"/>
        </w:tblBorders>
        <w:tblLayout/>
      </w:tblPr>
      <w:tblGrid>
        <w:gridCol w:w="1834"/>
        <w:gridCol w:w="4721"/>
        <w:gridCol w:w="4239"/>
        <w:gridCol w:w="1917"/>
        <w:gridCol w:w="3289"/>
      </w:tblGrid>
      <w:tr>
        <w:trPr>
          <w:trHeight w:val="30" w:hRule="atLeast"/>
        </w:trPr>
        <w:tc>
          <w:tcPr>
            <w:tcW w:w="183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присоединений</w:t>
            </w:r>
          </w:p>
        </w:tc>
      </w:tr>
      <w:tr>
        <w:trPr>
          <w:trHeight w:val="30" w:hRule="atLeast"/>
        </w:trPr>
        <w:tc>
          <w:tcPr>
            <w:tcW w:w="0" w:type="auto"/>
            <w:vMerge/>
            <w:tcBorders>
              <w:top w:val="nil"/>
              <w:left w:val="single" w:color="cfcfcf" w:sz="8"/>
              <w:bottom w:val="single" w:color="cfcfcf" w:sz="8"/>
              <w:right w:val="single" w:color="cfcfcf" w:sz="8"/>
            </w:tcBorders>
          </w:tcPr>
          <w:p/>
        </w:tc>
        <w:tc>
          <w:tcPr>
            <w:tcW w:w="47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Межгосударственные ВЛ, ВЛ 500 кВ и выше, генераторы 50 МВт и выше</w:t>
            </w:r>
          </w:p>
        </w:tc>
        <w:tc>
          <w:tcPr>
            <w:tcW w:w="42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ВЛ 220 – 110 кВ, генераторы до 50 МВт</w:t>
            </w:r>
          </w:p>
        </w:tc>
        <w:tc>
          <w:tcPr>
            <w:tcW w:w="19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 – 6 кВ</w:t>
            </w:r>
          </w:p>
        </w:tc>
        <w:tc>
          <w:tcPr>
            <w:tcW w:w="32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низкого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напряжения</w:t>
            </w:r>
          </w:p>
        </w:tc>
      </w:tr>
      <w:tr>
        <w:trPr>
          <w:trHeight w:val="30" w:hRule="atLeast"/>
        </w:trPr>
        <w:tc>
          <w:tcPr>
            <w:tcW w:w="18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ТТ</w:t>
            </w:r>
          </w:p>
        </w:tc>
        <w:tc>
          <w:tcPr>
            <w:tcW w:w="47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42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19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32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r>
        <w:trPr>
          <w:trHeight w:val="30" w:hRule="atLeast"/>
        </w:trPr>
        <w:tc>
          <w:tcPr>
            <w:tcW w:w="18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ТН</w:t>
            </w:r>
          </w:p>
        </w:tc>
        <w:tc>
          <w:tcPr>
            <w:tcW w:w="47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42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19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32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4944"/>
    <w:bookmarkStart w:name="637606400" w:id="49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При строительстве и модернизации оборудования рекомендуется применять класс точности присоединений 0,2.</w:t>
      </w:r>
    </w:p>
    <w:bookmarkEnd w:id="4945"/>
    <w:bookmarkStart w:name="637606401" w:id="4946"/>
    <w:p>
      <w:pPr>
        <w:spacing w:before="120" w:after="120" w:line="240"/>
        <w:ind w:left="0"/>
        <w:jc w:val="both"/>
      </w:pPr>
      <w:r>
        <w:rPr>
          <w:rFonts w:hint="default" w:ascii="Times New Roman" w:hAnsi="Times New Roman"/>
          <w:b/>
          <w:i w:val="false"/>
          <w:color w:val="000000"/>
          <w:sz w:val="24"/>
        </w:rPr>
        <w:t>Классы точности средств измерения</w:t>
      </w:r>
    </w:p>
    <w:bookmarkEnd w:id="4946"/>
    <w:bookmarkStart w:name="637606402" w:id="494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40</w:t>
      </w:r>
    </w:p>
    <w:bookmarkEnd w:id="4947"/>
    <w:bookmarkStart w:name="637606403" w:id="4948"/>
    <w:tbl>
      <w:tblPr>
        <w:tblW w:w="18660" w:type="auto"/>
        <w:tblCellSpacing w:w="0" w:type="auto"/>
        <w:tblBorders>
          <w:top w:val="none"/>
          <w:left w:val="none"/>
          <w:bottom w:val="none"/>
          <w:right w:val="none"/>
          <w:insideH w:val="none"/>
          <w:insideV w:val="none"/>
        </w:tblBorders>
        <w:tblLayout/>
      </w:tblPr>
      <w:tblGrid>
        <w:gridCol w:w="3776"/>
        <w:gridCol w:w="3830"/>
        <w:gridCol w:w="3830"/>
        <w:gridCol w:w="4564"/>
      </w:tblGrid>
      <w:tr>
        <w:trPr>
          <w:trHeight w:val="30" w:hRule="atLeast"/>
        </w:trPr>
        <w:tc>
          <w:tcPr>
            <w:tcW w:w="37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прибора</w:t>
            </w:r>
          </w:p>
        </w:tc>
        <w:tc>
          <w:tcPr>
            <w:tcW w:w="3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шунта, добавочного резистора</w:t>
            </w:r>
          </w:p>
        </w:tc>
        <w:tc>
          <w:tcPr>
            <w:tcW w:w="3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измерительного преобразователя</w:t>
            </w:r>
          </w:p>
        </w:tc>
        <w:tc>
          <w:tcPr>
            <w:tcW w:w="45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точности измерительного трансформатора*</w:t>
            </w:r>
          </w:p>
        </w:tc>
      </w:tr>
      <w:tr>
        <w:trPr>
          <w:trHeight w:val="30" w:hRule="atLeast"/>
        </w:trPr>
        <w:tc>
          <w:tcPr>
            <w:tcW w:w="37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p>
        </w:tc>
        <w:tc>
          <w:tcPr>
            <w:tcW w:w="3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 (0,2)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p>
        </w:tc>
        <w:tc>
          <w:tcPr>
            <w:tcW w:w="3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 (0,2)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p>
        </w:tc>
        <w:tc>
          <w:tcPr>
            <w:tcW w:w="45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 (0,2)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p>
        </w:tc>
      </w:tr>
    </w:tbl>
    <w:bookmarkEnd w:id="4948"/>
    <w:bookmarkStart w:name="637606404" w:id="49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Значения, указанные в скобках – рекомендуемые при строительстве и модернизации оборудования.</w:t>
      </w:r>
    </w:p>
    <w:bookmarkEnd w:id="4949"/>
    <w:bookmarkStart w:name="637606405" w:id="4950"/>
    <w:p>
      <w:pPr>
        <w:spacing w:before="120" w:after="120" w:line="240"/>
        <w:ind w:left="0"/>
        <w:jc w:val="both"/>
      </w:pPr>
      <w:r>
        <w:rPr>
          <w:rFonts w:hint="default" w:ascii="Times New Roman" w:hAnsi="Times New Roman"/>
          <w:b/>
          <w:i w:val="false"/>
          <w:color w:val="000000"/>
          <w:sz w:val="24"/>
        </w:rPr>
        <w:t>Рекомендации по выбору электрических параметров,</w:t>
      </w:r>
      <w:r>
        <w:br/>
      </w:r>
      <w:r>
        <w:rPr>
          <w:rFonts w:hint="default" w:ascii="Times New Roman" w:hAnsi="Times New Roman"/>
          <w:b/>
          <w:i w:val="false"/>
          <w:color w:val="000000"/>
          <w:sz w:val="24"/>
        </w:rPr>
        <w:t>
фиксируемых регистраторами аварийных событий (автоматическими цифровыми осциллографами)</w:t>
      </w:r>
    </w:p>
    <w:bookmarkEnd w:id="4950"/>
    <w:bookmarkStart w:name="637606406" w:id="495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41</w:t>
      </w:r>
    </w:p>
    <w:bookmarkEnd w:id="4951"/>
    <w:bookmarkStart w:name="637606407" w:id="4952"/>
    <w:tbl>
      <w:tblPr>
        <w:tblW w:w="18660" w:type="auto"/>
        <w:tblCellSpacing w:w="0" w:type="auto"/>
        <w:tblBorders>
          <w:top w:val="none"/>
          <w:left w:val="none"/>
          <w:bottom w:val="none"/>
          <w:right w:val="none"/>
          <w:insideH w:val="none"/>
          <w:insideV w:val="none"/>
        </w:tblBorders>
        <w:tblLayout/>
      </w:tblPr>
      <w:tblGrid>
        <w:gridCol w:w="4108"/>
        <w:gridCol w:w="11892"/>
      </w:tblGrid>
      <w:tr>
        <w:trPr>
          <w:trHeight w:val="30" w:hRule="atLeast"/>
        </w:trPr>
        <w:tc>
          <w:tcPr>
            <w:tcW w:w="41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распределительного устройства, кВ</w:t>
            </w:r>
          </w:p>
        </w:tc>
        <w:tc>
          <w:tcPr>
            <w:tcW w:w="11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Параметры, рекомендуемые для регистрации автоматическими осциллографами</w:t>
            </w:r>
          </w:p>
        </w:tc>
      </w:tr>
      <w:tr>
        <w:trPr>
          <w:trHeight w:val="30" w:hRule="atLeast"/>
        </w:trPr>
        <w:tc>
          <w:tcPr>
            <w:tcW w:w="41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1150, 500</w:t>
            </w:r>
          </w:p>
        </w:tc>
        <w:tc>
          <w:tcPr>
            <w:tcW w:w="11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trPr>
          <w:trHeight w:val="30" w:hRule="atLeast"/>
        </w:trPr>
        <w:tc>
          <w:tcPr>
            <w:tcW w:w="41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220, 110</w:t>
            </w:r>
          </w:p>
        </w:tc>
        <w:tc>
          <w:tcPr>
            <w:tcW w:w="11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bookmarkEnd w:id="4952"/>
    <w:bookmarkStart w:name="637606408" w:id="49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На всех ПС, где устанавливаются регистраторы аварийных событий, необходимо производить регистрацию действий устройств противоаварийной автоматики и релейной защиты в необходимом объеме.</w:t>
      </w:r>
    </w:p>
    <w:bookmarkEnd w:id="4953"/>
    <w:bookmarkStart w:name="637606409" w:id="4954"/>
    <w:p>
      <w:pPr>
        <w:spacing w:before="120" w:after="120" w:line="240"/>
        <w:ind w:left="0"/>
        <w:jc w:val="both"/>
      </w:pPr>
      <w:r>
        <w:rPr>
          <w:rFonts w:hint="default" w:ascii="Times New Roman" w:hAnsi="Times New Roman"/>
          <w:b/>
          <w:i w:val="false"/>
          <w:color w:val="000000"/>
          <w:sz w:val="24"/>
        </w:rPr>
        <w:t>Применение электрооборудования в электроустановках напряжением до 1 кВ</w:t>
      </w:r>
    </w:p>
    <w:bookmarkEnd w:id="4954"/>
    <w:bookmarkStart w:name="637606410" w:id="495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42</w:t>
      </w:r>
    </w:p>
    <w:bookmarkEnd w:id="4955"/>
    <w:bookmarkStart w:name="637606411" w:id="4956"/>
    <w:tbl>
      <w:tblPr>
        <w:tblW w:w="18660" w:type="auto"/>
        <w:tblCellSpacing w:w="0" w:type="auto"/>
        <w:tblBorders>
          <w:top w:val="none"/>
          <w:left w:val="none"/>
          <w:bottom w:val="none"/>
          <w:right w:val="none"/>
          <w:insideH w:val="none"/>
          <w:insideV w:val="none"/>
        </w:tblBorders>
        <w:tblLayout/>
      </w:tblPr>
      <w:tblGrid>
        <w:gridCol w:w="1685"/>
        <w:gridCol w:w="4275"/>
        <w:gridCol w:w="3232"/>
        <w:gridCol w:w="6808"/>
      </w:tblGrid>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w:t>
            </w:r>
          </w:p>
        </w:tc>
        <w:tc>
          <w:tcPr>
            <w:tcW w:w="42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Маркировка</w:t>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Назначение защиты</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Условия применения в электроустановке</w:t>
            </w:r>
          </w:p>
        </w:tc>
      </w:tr>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42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42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косвенном прикосновении</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Применение в непроводящих помещениях</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 Питание от вторичной обмотки разделительного трансформатора только одного электроприемника</w:t>
            </w:r>
          </w:p>
        </w:tc>
      </w:tr>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c>
          <w:tcPr>
            <w:tcW w:w="427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Защитный зажим – знак</w:t>
            </w:r>
            <w:r>
              <w:rPr>
                <w:rFonts w:hint="default" w:ascii="Times New Roman" w:hAnsi="Times New Roman"/>
                <w:b w:val="false"/>
                <w:i w:val="false"/>
                <w:color w:val="000000"/>
                <w:sz w:val="24"/>
              </w:rPr>
              <w:t xml:space="preserve"> </w:t>
            </w:r>
            <w:r>
              <w:drawing>
                <wp:inline distT="0" distB="0" distL="0" distR="0">
                  <wp:extent cx="609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9600" cy="609600"/>
                          </a:xfrm>
                          <a:prstGeom prst="rect">
                            <a:avLst/>
                          </a:prstGeom>
                        </pic:spPr>
                      </pic:pic>
                    </a:graphicData>
                  </a:graphic>
                </wp:inline>
              </w:drawing>
            </w:r>
          </w:p>
          <w:p>
            <w:pPr>
              <w:spacing w:after="0"/>
              <w:ind w:left="14"/>
              <w:jc w:val="left"/>
            </w:pPr>
            <w:r>
              <w:rPr>
                <w:rFonts w:hint="default" w:ascii="Times New Roman" w:hAnsi="Times New Roman"/>
                <w:b w:val="false"/>
                <w:i w:val="false"/>
                <w:color w:val="000000"/>
                <w:sz w:val="24"/>
              </w:rPr>
              <w:t>или буквы РЕ или желто-зеленые полосы</w:t>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косвенном прикосновении</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Присоединение заземляющего зажима электрооборудования к защитному проводнику электроустановки</w:t>
            </w:r>
          </w:p>
        </w:tc>
      </w:tr>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42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w:t>
            </w:r>
            <w:r>
              <w:rPr>
                <w:rFonts w:hint="default" w:ascii="Times New Roman" w:hAnsi="Times New Roman"/>
                <w:b w:val="false"/>
                <w:i w:val="false"/>
                <w:color w:val="000000"/>
                <w:sz w:val="24"/>
              </w:rPr>
              <w:t xml:space="preserve"> </w:t>
            </w:r>
            <w:r>
              <w:drawing>
                <wp:inline distT="0" distB="0" distL="0" distR="0">
                  <wp:extent cx="711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11200" cy="698500"/>
                          </a:xfrm>
                          <a:prstGeom prst="rect">
                            <a:avLst/>
                          </a:prstGeom>
                        </pic:spPr>
                      </pic:pic>
                    </a:graphicData>
                  </a:graphic>
                </wp:inline>
              </w:drawing>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косвенном прикосновении</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мер защиты, принятых в электроустановке</w:t>
            </w:r>
          </w:p>
        </w:tc>
      </w:tr>
      <w:tr>
        <w:trPr>
          <w:trHeight w:val="30" w:hRule="atLeast"/>
        </w:trPr>
        <w:tc>
          <w:tcPr>
            <w:tcW w:w="1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42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w:t>
            </w:r>
            <w:r>
              <w:rPr>
                <w:rFonts w:hint="default" w:ascii="Times New Roman" w:hAnsi="Times New Roman"/>
                <w:b w:val="false"/>
                <w:i w:val="false"/>
                <w:color w:val="000000"/>
                <w:sz w:val="24"/>
              </w:rPr>
              <w:t xml:space="preserve"> </w:t>
            </w:r>
            <w:r>
              <w:drawing>
                <wp:inline distT="0" distB="0" distL="0" distR="0">
                  <wp:extent cx="673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3100" cy="698500"/>
                          </a:xfrm>
                          <a:prstGeom prst="rect">
                            <a:avLst/>
                          </a:prstGeom>
                        </pic:spPr>
                      </pic:pic>
                    </a:graphicData>
                  </a:graphic>
                </wp:inline>
              </w:drawing>
            </w:r>
          </w:p>
        </w:tc>
        <w:tc>
          <w:tcPr>
            <w:tcW w:w="3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прямого и косвенного прикосновений</w:t>
            </w:r>
          </w:p>
        </w:tc>
        <w:tc>
          <w:tcPr>
            <w:tcW w:w="6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Питание от безопасного разделительного трансформатора</w:t>
            </w:r>
          </w:p>
        </w:tc>
      </w:tr>
    </w:tbl>
    <w:bookmarkEnd w:id="4956"/>
    <w:bookmarkStart w:name="637606412" w:id="4957"/>
    <w:p>
      <w:pPr>
        <w:spacing w:before="120" w:after="120" w:line="240"/>
        <w:ind w:left="0"/>
        <w:jc w:val="both"/>
      </w:pPr>
      <w:r>
        <w:rPr>
          <w:rFonts w:hint="default" w:ascii="Times New Roman" w:hAnsi="Times New Roman"/>
          <w:b/>
          <w:i w:val="false"/>
          <w:color w:val="000000"/>
          <w:sz w:val="24"/>
        </w:rPr>
        <w:t>Наибольшее допустимое время защитного автоматического</w:t>
      </w:r>
      <w:r>
        <w:br/>
      </w:r>
      <w:r>
        <w:rPr>
          <w:rFonts w:hint="default" w:ascii="Times New Roman" w:hAnsi="Times New Roman"/>
          <w:b/>
          <w:i w:val="false"/>
          <w:color w:val="000000"/>
          <w:sz w:val="24"/>
        </w:rPr>
        <w:t>
отключения при занулении открытых проводящих частей</w:t>
      </w:r>
    </w:p>
    <w:bookmarkEnd w:id="4957"/>
    <w:bookmarkStart w:name="637606413" w:id="495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43</w:t>
      </w:r>
    </w:p>
    <w:bookmarkEnd w:id="4958"/>
    <w:bookmarkStart w:name="637606414" w:id="4959"/>
    <w:tbl>
      <w:tblPr>
        <w:tblW w:w="18660" w:type="auto"/>
        <w:tblCellSpacing w:w="0" w:type="auto"/>
        <w:tblBorders>
          <w:top w:val="none"/>
          <w:left w:val="none"/>
          <w:bottom w:val="none"/>
          <w:right w:val="none"/>
          <w:insideH w:val="none"/>
          <w:insideV w:val="none"/>
        </w:tblBorders>
        <w:tblLayout/>
      </w:tblPr>
      <w:tblGrid>
        <w:gridCol w:w="7759"/>
        <w:gridCol w:w="8241"/>
      </w:tblGrid>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фазное напряжение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В</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с</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380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r>
    </w:tbl>
    <w:bookmarkEnd w:id="4959"/>
    <w:bookmarkStart w:name="637606415" w:id="4960"/>
    <w:p>
      <w:pPr>
        <w:spacing w:before="120" w:after="120" w:line="240"/>
        <w:ind w:left="0"/>
        <w:jc w:val="both"/>
      </w:pPr>
      <w:r>
        <w:rPr>
          <w:rFonts w:hint="default" w:ascii="Times New Roman" w:hAnsi="Times New Roman"/>
          <w:b/>
          <w:i w:val="false"/>
          <w:color w:val="000000"/>
          <w:sz w:val="24"/>
        </w:rPr>
        <w:t>Наибольшее допустимое время защитного автоматического отключения в сети с изолированной нейтралью и заземлением открытых проводящих частей</w:t>
      </w:r>
    </w:p>
    <w:bookmarkEnd w:id="4960"/>
    <w:bookmarkStart w:name="637606416" w:id="496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44</w:t>
      </w:r>
    </w:p>
    <w:bookmarkEnd w:id="4961"/>
    <w:bookmarkStart w:name="637606417" w:id="4962"/>
    <w:tbl>
      <w:tblPr>
        <w:tblW w:w="18660" w:type="auto"/>
        <w:tblCellSpacing w:w="0" w:type="auto"/>
        <w:tblBorders>
          <w:top w:val="none"/>
          <w:left w:val="none"/>
          <w:bottom w:val="none"/>
          <w:right w:val="none"/>
          <w:insideH w:val="none"/>
          <w:insideV w:val="none"/>
        </w:tblBorders>
        <w:tblLayout/>
      </w:tblPr>
      <w:tblGrid>
        <w:gridCol w:w="7759"/>
        <w:gridCol w:w="8241"/>
      </w:tblGrid>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линейное напряжение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В</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с</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660</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r>
    </w:tbl>
    <w:bookmarkEnd w:id="4962"/>
    <w:bookmarkStart w:name="637606418" w:id="4963"/>
    <w:p>
      <w:pPr>
        <w:spacing w:before="120" w:after="120" w:line="240"/>
        <w:ind w:left="0"/>
        <w:jc w:val="both"/>
      </w:pPr>
      <w:r>
        <w:rPr>
          <w:rFonts w:hint="default" w:ascii="Times New Roman" w:hAnsi="Times New Roman"/>
          <w:b/>
          <w:i w:val="false"/>
          <w:color w:val="000000"/>
          <w:sz w:val="24"/>
        </w:rPr>
        <w:t>Наименьшие размеры заземлителей и заземляющих проводников, проложенных в земле</w:t>
      </w:r>
    </w:p>
    <w:bookmarkEnd w:id="4963"/>
    <w:bookmarkStart w:name="637606419" w:id="496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45</w:t>
      </w:r>
    </w:p>
    <w:bookmarkEnd w:id="4964"/>
    <w:bookmarkStart w:name="637606420" w:id="4965"/>
    <w:tbl>
      <w:tblPr>
        <w:tblW w:w="18660" w:type="auto"/>
        <w:tblCellSpacing w:w="0" w:type="auto"/>
        <w:tblBorders>
          <w:top w:val="none"/>
          <w:left w:val="none"/>
          <w:bottom w:val="none"/>
          <w:right w:val="none"/>
          <w:insideH w:val="none"/>
          <w:insideV w:val="none"/>
        </w:tblBorders>
        <w:tblLayout/>
      </w:tblPr>
      <w:tblGrid>
        <w:gridCol w:w="1773"/>
        <w:gridCol w:w="6272"/>
        <w:gridCol w:w="1696"/>
        <w:gridCol w:w="3379"/>
        <w:gridCol w:w="2880"/>
      </w:tblGrid>
      <w:tr>
        <w:trPr>
          <w:trHeight w:val="30" w:hRule="atLeast"/>
        </w:trPr>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w:t>
            </w: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Профиль сечения</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Диаметр, мм</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Площадь поперечного сечения,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Толщина стенки, мм</w:t>
            </w:r>
          </w:p>
        </w:tc>
      </w:tr>
      <w:tr>
        <w:trPr>
          <w:trHeight w:val="30" w:hRule="atLeast"/>
        </w:trPr>
        <w:tc>
          <w:tcPr>
            <w:tcW w:w="177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 черная</w:t>
            </w: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Круглый:</w:t>
            </w:r>
          </w:p>
        </w:tc>
        <w:tc>
          <w:tcPr>
            <w:tcW w:w="1696" w:type="dxa"/>
            <w:tcBorders>
              <w:top w:val="single" w:color="cfcfcf" w:sz="8"/>
              <w:left w:val="single" w:color="cfcfcf" w:sz="8"/>
              <w:bottom w:val="single" w:color="cfcfcf" w:sz="8"/>
              <w:right w:val="single" w:color="cfcfcf" w:sz="8"/>
            </w:tcBorders>
            <w:vAlign w:val="center"/>
          </w:tcPr>
          <w:p>
            <w:pPr>
              <w:spacing w:after="0"/>
              <w:ind w:left="0"/>
              <w:jc w:val="left"/>
            </w:pPr>
          </w:p>
        </w:tc>
        <w:tc>
          <w:tcPr>
            <w:tcW w:w="3379" w:type="dxa"/>
            <w:tcBorders>
              <w:top w:val="single" w:color="cfcfcf" w:sz="8"/>
              <w:left w:val="single" w:color="cfcfcf" w:sz="8"/>
              <w:bottom w:val="single" w:color="cfcfcf" w:sz="8"/>
              <w:right w:val="single" w:color="cfcfcf" w:sz="8"/>
            </w:tcBorders>
            <w:vAlign w:val="center"/>
          </w:tcPr>
          <w:p>
            <w:pPr>
              <w:spacing w:after="0"/>
              <w:ind w:left="0"/>
              <w:jc w:val="left"/>
            </w:pPr>
          </w:p>
        </w:tc>
        <w:tc>
          <w:tcPr>
            <w:tcW w:w="2880"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вертикальных заземлителей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горизонтальных заземлителей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Прямоугольный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Угловой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Трубный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177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 оцинкованная</w:t>
            </w: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Круглый:</w:t>
            </w:r>
          </w:p>
        </w:tc>
        <w:tc>
          <w:tcPr>
            <w:tcW w:w="1696" w:type="dxa"/>
            <w:tcBorders>
              <w:top w:val="single" w:color="cfcfcf" w:sz="8"/>
              <w:left w:val="single" w:color="cfcfcf" w:sz="8"/>
              <w:bottom w:val="single" w:color="cfcfcf" w:sz="8"/>
              <w:right w:val="single" w:color="cfcfcf" w:sz="8"/>
            </w:tcBorders>
            <w:vAlign w:val="center"/>
          </w:tcPr>
          <w:p>
            <w:pPr>
              <w:spacing w:after="0"/>
              <w:ind w:left="0"/>
              <w:jc w:val="left"/>
            </w:pPr>
          </w:p>
        </w:tc>
        <w:tc>
          <w:tcPr>
            <w:tcW w:w="3379" w:type="dxa"/>
            <w:tcBorders>
              <w:top w:val="single" w:color="cfcfcf" w:sz="8"/>
              <w:left w:val="single" w:color="cfcfcf" w:sz="8"/>
              <w:bottom w:val="single" w:color="cfcfcf" w:sz="8"/>
              <w:right w:val="single" w:color="cfcfcf" w:sz="8"/>
            </w:tcBorders>
            <w:vAlign w:val="center"/>
          </w:tcPr>
          <w:p>
            <w:pPr>
              <w:spacing w:after="0"/>
              <w:ind w:left="0"/>
              <w:jc w:val="left"/>
            </w:pPr>
          </w:p>
        </w:tc>
        <w:tc>
          <w:tcPr>
            <w:tcW w:w="2880"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вертикальных заземлителей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горизонтальных заземлителей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Прямоугольный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0" w:type="auto"/>
            <w:vMerge/>
            <w:tcBorders>
              <w:top w:val="nil"/>
              <w:left w:val="single" w:color="cfcfcf" w:sz="8"/>
              <w:bottom w:val="single" w:color="cfcfcf" w:sz="8"/>
              <w:right w:val="single" w:color="cfcfcf" w:sz="8"/>
            </w:tcBorders>
          </w:tcP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Трубный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Медь</w:t>
            </w:r>
          </w:p>
        </w:tc>
        <w:tc>
          <w:tcPr>
            <w:tcW w:w="62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Круглый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Прямоугольный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Трубный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Канат многопроволочный</w:t>
            </w:r>
          </w:p>
        </w:tc>
        <w:tc>
          <w:tcPr>
            <w:tcW w:w="16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28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4965"/>
    <w:bookmarkStart w:name="637606421" w:id="49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Диаметр каждой проволоки.</w:t>
      </w:r>
    </w:p>
    <w:bookmarkEnd w:id="4966"/>
    <w:bookmarkStart w:name="637606422" w:id="4967"/>
    <w:p>
      <w:pPr>
        <w:spacing w:before="120" w:after="120" w:line="240"/>
        <w:ind w:left="0"/>
        <w:jc w:val="both"/>
      </w:pPr>
      <w:r>
        <w:rPr>
          <w:rFonts w:hint="default" w:ascii="Times New Roman" w:hAnsi="Times New Roman"/>
          <w:b/>
          <w:i w:val="false"/>
          <w:color w:val="000000"/>
          <w:sz w:val="24"/>
        </w:rPr>
        <w:t>Наименьшие сечения защитных проводников</w:t>
      </w:r>
    </w:p>
    <w:bookmarkEnd w:id="4967"/>
    <w:bookmarkStart w:name="637606423" w:id="496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46</w:t>
      </w:r>
    </w:p>
    <w:bookmarkEnd w:id="4968"/>
    <w:bookmarkStart w:name="637606424" w:id="4969"/>
    <w:tbl>
      <w:tblPr>
        <w:tblW w:w="18660" w:type="auto"/>
        <w:tblCellSpacing w:w="0" w:type="auto"/>
        <w:tblBorders>
          <w:top w:val="none"/>
          <w:left w:val="none"/>
          <w:bottom w:val="none"/>
          <w:right w:val="none"/>
          <w:insideH w:val="none"/>
          <w:insideV w:val="none"/>
        </w:tblBorders>
        <w:tblLayout/>
      </w:tblPr>
      <w:tblGrid>
        <w:gridCol w:w="7759"/>
        <w:gridCol w:w="8241"/>
      </w:tblGrid>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фазных проводников,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Наименьшее сечение защитных проводников,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S</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&lt;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S</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 &lt; S</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&lt;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r>
      <w:tr>
        <w:trPr>
          <w:trHeight w:val="30" w:hRule="atLeast"/>
        </w:trPr>
        <w:tc>
          <w:tcPr>
            <w:tcW w:w="77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S &gt;35</w:t>
            </w:r>
          </w:p>
        </w:tc>
        <w:tc>
          <w:tcPr>
            <w:tcW w:w="82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i w:val="false"/>
                <w:color w:val="000000"/>
                <w:sz w:val="24"/>
              </w:rPr>
              <w:t>S/2</w:t>
            </w:r>
          </w:p>
        </w:tc>
      </w:tr>
    </w:tbl>
    <w:bookmarkEnd w:id="4969"/>
    <w:bookmarkStart w:name="637606425" w:id="4970"/>
    <w:p>
      <w:pPr>
        <w:spacing w:before="120" w:after="120" w:line="240"/>
        <w:ind w:left="0"/>
        <w:jc w:val="both"/>
      </w:pPr>
      <w:r>
        <w:rPr>
          <w:rFonts w:hint="default" w:ascii="Times New Roman" w:hAnsi="Times New Roman"/>
          <w:b/>
          <w:i w:val="false"/>
          <w:color w:val="000000"/>
          <w:sz w:val="24"/>
        </w:rPr>
        <w:t>Значение коэффициента k для изолированных защитных</w:t>
      </w:r>
      <w:r>
        <w:br/>
      </w:r>
      <w:r>
        <w:rPr>
          <w:rFonts w:hint="default" w:ascii="Times New Roman" w:hAnsi="Times New Roman"/>
          <w:b/>
          <w:i w:val="false"/>
          <w:color w:val="000000"/>
          <w:sz w:val="24"/>
        </w:rPr>
        <w:t>
проводников, не входящих в кабель, и для неизолированных</w:t>
      </w:r>
      <w:r>
        <w:br/>
      </w:r>
      <w:r>
        <w:rPr>
          <w:rFonts w:hint="default" w:ascii="Times New Roman" w:hAnsi="Times New Roman"/>
          <w:b/>
          <w:i w:val="false"/>
          <w:color w:val="000000"/>
          <w:sz w:val="24"/>
        </w:rPr>
        <w:t>
проводников, касающихся оболочки кабелей</w:t>
      </w:r>
      <w:r>
        <w:br/>
      </w:r>
      <w:r>
        <w:rPr>
          <w:rFonts w:hint="default" w:ascii="Times New Roman" w:hAnsi="Times New Roman"/>
          <w:b/>
          <w:i w:val="false"/>
          <w:color w:val="000000"/>
          <w:sz w:val="24"/>
        </w:rPr>
        <w:t>
(Начальная температура проводника принята равной 30</w:t>
      </w:r>
      <w:r>
        <w:rPr>
          <w:rFonts w:hint="default" w:ascii="Times New Roman" w:hAnsi="Times New Roman"/>
          <w:b/>
          <w:i w:val="false"/>
          <w:color w:val="000000"/>
          <w:vertAlign w:val="superscript"/>
        </w:rPr>
        <w:t>o</w:t>
      </w:r>
      <w:r>
        <w:rPr>
          <w:rFonts w:hint="default" w:ascii="Times New Roman" w:hAnsi="Times New Roman"/>
          <w:b/>
          <w:i w:val="false"/>
          <w:color w:val="000000"/>
          <w:sz w:val="24"/>
        </w:rPr>
        <w:t xml:space="preserve"> С)</w:t>
      </w:r>
    </w:p>
    <w:bookmarkEnd w:id="4970"/>
    <w:bookmarkStart w:name="637606426" w:id="497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47</w:t>
      </w:r>
    </w:p>
    <w:bookmarkEnd w:id="4971"/>
    <w:bookmarkStart w:name="637606427" w:id="4972"/>
    <w:tbl>
      <w:tblPr>
        <w:tblW w:w="18660" w:type="auto"/>
        <w:tblCellSpacing w:w="0" w:type="auto"/>
        <w:tblBorders>
          <w:top w:val="none"/>
          <w:left w:val="none"/>
          <w:bottom w:val="none"/>
          <w:right w:val="none"/>
          <w:insideH w:val="none"/>
          <w:insideV w:val="none"/>
        </w:tblBorders>
        <w:tblLayout/>
      </w:tblPr>
      <w:tblGrid>
        <w:gridCol w:w="5392"/>
        <w:gridCol w:w="2926"/>
        <w:gridCol w:w="5226"/>
        <w:gridCol w:w="2456"/>
      </w:tblGrid>
      <w:tr>
        <w:trPr>
          <w:trHeight w:val="30" w:hRule="atLeast"/>
        </w:trPr>
        <w:tc>
          <w:tcPr>
            <w:tcW w:w="539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Параметр</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 изоляции</w:t>
            </w:r>
          </w:p>
        </w:tc>
      </w:tr>
      <w:tr>
        <w:trPr>
          <w:trHeight w:val="30" w:hRule="atLeast"/>
        </w:trPr>
        <w:tc>
          <w:tcPr>
            <w:tcW w:w="0" w:type="auto"/>
            <w:vMerge/>
            <w:tcBorders>
              <w:top w:val="nil"/>
              <w:left w:val="single" w:color="cfcfcf" w:sz="8"/>
              <w:bottom w:val="single" w:color="cfcfcf" w:sz="8"/>
              <w:right w:val="single" w:color="cfcfcf" w:sz="8"/>
            </w:tcBorders>
          </w:tcPr>
          <w:p/>
        </w:tc>
        <w:tc>
          <w:tcPr>
            <w:tcW w:w="29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Поливинилхлорид (ПВХ)</w:t>
            </w:r>
          </w:p>
        </w:tc>
        <w:tc>
          <w:tcPr>
            <w:tcW w:w="52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Сшитый полиэтилен, этиленпропиленовая резина</w:t>
            </w:r>
          </w:p>
        </w:tc>
        <w:tc>
          <w:tcPr>
            <w:tcW w:w="24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Бутиловая резина</w:t>
            </w:r>
          </w:p>
        </w:tc>
      </w:tr>
      <w:tr>
        <w:trPr>
          <w:trHeight w:val="30" w:hRule="atLeast"/>
        </w:trPr>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Конечная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k проводника:</w:t>
            </w:r>
          </w:p>
        </w:tc>
        <w:tc>
          <w:tcPr>
            <w:tcW w:w="29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52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4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медного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алюминиевого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стального</w:t>
            </w:r>
          </w:p>
        </w:tc>
        <w:tc>
          <w:tcPr>
            <w:tcW w:w="29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52</w:t>
            </w:r>
          </w:p>
        </w:tc>
        <w:tc>
          <w:tcPr>
            <w:tcW w:w="52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64</w:t>
            </w:r>
          </w:p>
        </w:tc>
        <w:tc>
          <w:tcPr>
            <w:tcW w:w="24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r>
    </w:tbl>
    <w:bookmarkEnd w:id="4972"/>
    <w:bookmarkStart w:name="637606428" w:id="4973"/>
    <w:p>
      <w:pPr>
        <w:spacing w:before="120" w:after="120" w:line="240"/>
        <w:ind w:left="0"/>
        <w:jc w:val="both"/>
      </w:pPr>
      <w:r>
        <w:rPr>
          <w:rFonts w:hint="default" w:ascii="Times New Roman" w:hAnsi="Times New Roman"/>
          <w:b/>
          <w:i w:val="false"/>
          <w:color w:val="000000"/>
          <w:sz w:val="24"/>
        </w:rPr>
        <w:t>Значение коэффициента k для защитного проводника,</w:t>
      </w:r>
      <w:r>
        <w:br/>
      </w:r>
      <w:r>
        <w:rPr>
          <w:rFonts w:hint="default" w:ascii="Times New Roman" w:hAnsi="Times New Roman"/>
          <w:b/>
          <w:i w:val="false"/>
          <w:color w:val="000000"/>
          <w:sz w:val="24"/>
        </w:rPr>
        <w:t>
входящего в многожильный кабель</w:t>
      </w:r>
    </w:p>
    <w:bookmarkEnd w:id="4973"/>
    <w:bookmarkStart w:name="637606429" w:id="497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48</w:t>
      </w:r>
    </w:p>
    <w:bookmarkEnd w:id="4974"/>
    <w:bookmarkStart w:name="637606430" w:id="4975"/>
    <w:tbl>
      <w:tblPr>
        <w:tblW w:w="18660" w:type="auto"/>
        <w:tblCellSpacing w:w="0" w:type="auto"/>
        <w:tblBorders>
          <w:top w:val="none"/>
          <w:left w:val="none"/>
          <w:bottom w:val="none"/>
          <w:right w:val="none"/>
          <w:insideH w:val="none"/>
          <w:insideV w:val="none"/>
        </w:tblBorders>
        <w:tblLayout/>
      </w:tblPr>
      <w:tblGrid>
        <w:gridCol w:w="5654"/>
        <w:gridCol w:w="2873"/>
        <w:gridCol w:w="4432"/>
        <w:gridCol w:w="3041"/>
      </w:tblGrid>
      <w:tr>
        <w:trPr>
          <w:trHeight w:val="30" w:hRule="atLeast"/>
        </w:trPr>
        <w:tc>
          <w:tcPr>
            <w:tcW w:w="565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Параметр</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 изоляции</w:t>
            </w:r>
          </w:p>
        </w:tc>
      </w:tr>
      <w:tr>
        <w:trPr>
          <w:trHeight w:val="30" w:hRule="atLeast"/>
        </w:trPr>
        <w:tc>
          <w:tcPr>
            <w:tcW w:w="0" w:type="auto"/>
            <w:vMerge/>
            <w:tcBorders>
              <w:top w:val="nil"/>
              <w:left w:val="single" w:color="cfcfcf" w:sz="8"/>
              <w:bottom w:val="single" w:color="cfcfcf" w:sz="8"/>
              <w:right w:val="single" w:color="cfcfcf" w:sz="8"/>
            </w:tcBorders>
          </w:tcPr>
          <w:p/>
        </w:tc>
        <w:tc>
          <w:tcPr>
            <w:tcW w:w="2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Поливинилхлорид (ПВХ)</w:t>
            </w:r>
          </w:p>
        </w:tc>
        <w:tc>
          <w:tcPr>
            <w:tcW w:w="4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Сшитый полиэтилен, этиленпропиленовая резина</w:t>
            </w:r>
          </w:p>
        </w:tc>
        <w:tc>
          <w:tcPr>
            <w:tcW w:w="304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Бутиловая</w:t>
            </w:r>
          </w:p>
          <w:p>
            <w:pPr>
              <w:spacing w:after="0"/>
              <w:ind w:left="14"/>
              <w:jc w:val="left"/>
            </w:pPr>
            <w:r>
              <w:rPr>
                <w:rFonts w:hint="default" w:ascii="Times New Roman" w:hAnsi="Times New Roman"/>
                <w:b w:val="false"/>
                <w:i w:val="false"/>
                <w:color w:val="000000"/>
                <w:sz w:val="24"/>
              </w:rPr>
              <w:t>резина</w:t>
            </w:r>
          </w:p>
        </w:tc>
      </w:tr>
      <w:tr>
        <w:trPr>
          <w:trHeight w:val="30" w:hRule="atLeast"/>
        </w:trPr>
        <w:tc>
          <w:tcPr>
            <w:tcW w:w="56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Начальная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2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c>
          <w:tcPr>
            <w:tcW w:w="4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30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r>
      <w:tr>
        <w:trPr>
          <w:trHeight w:val="30" w:hRule="atLeast"/>
        </w:trPr>
        <w:tc>
          <w:tcPr>
            <w:tcW w:w="56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Конечная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k проводника:</w:t>
            </w:r>
          </w:p>
        </w:tc>
        <w:tc>
          <w:tcPr>
            <w:tcW w:w="2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4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30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56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медного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алюминиевого</w:t>
            </w:r>
          </w:p>
        </w:tc>
        <w:tc>
          <w:tcPr>
            <w:tcW w:w="2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76</w:t>
            </w:r>
          </w:p>
        </w:tc>
        <w:tc>
          <w:tcPr>
            <w:tcW w:w="4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94</w:t>
            </w:r>
          </w:p>
        </w:tc>
        <w:tc>
          <w:tcPr>
            <w:tcW w:w="30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89</w:t>
            </w:r>
          </w:p>
        </w:tc>
      </w:tr>
    </w:tbl>
    <w:bookmarkEnd w:id="4975"/>
    <w:bookmarkStart w:name="637606431" w:id="4976"/>
    <w:p>
      <w:pPr>
        <w:spacing w:before="120" w:after="120" w:line="240"/>
        <w:ind w:left="0"/>
        <w:jc w:val="both"/>
      </w:pPr>
      <w:r>
        <w:rPr>
          <w:rFonts w:hint="default" w:ascii="Times New Roman" w:hAnsi="Times New Roman"/>
          <w:b/>
          <w:i w:val="false"/>
          <w:color w:val="000000"/>
          <w:sz w:val="24"/>
        </w:rPr>
        <w:t>Значение коэффициента k при использовании в качестве</w:t>
      </w:r>
      <w:r>
        <w:br/>
      </w:r>
      <w:r>
        <w:rPr>
          <w:rFonts w:hint="default" w:ascii="Times New Roman" w:hAnsi="Times New Roman"/>
          <w:b/>
          <w:i w:val="false"/>
          <w:color w:val="000000"/>
          <w:sz w:val="24"/>
        </w:rPr>
        <w:t>
защитного проводника алюминиевой оболочки кабеля</w:t>
      </w:r>
    </w:p>
    <w:bookmarkEnd w:id="4976"/>
    <w:bookmarkStart w:name="637606432" w:id="497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49</w:t>
      </w:r>
    </w:p>
    <w:bookmarkEnd w:id="4977"/>
    <w:bookmarkStart w:name="637606433" w:id="4978"/>
    <w:tbl>
      <w:tblPr>
        <w:tblW w:w="18660" w:type="auto"/>
        <w:tblCellSpacing w:w="0" w:type="auto"/>
        <w:tblBorders>
          <w:top w:val="none"/>
          <w:left w:val="none"/>
          <w:bottom w:val="none"/>
          <w:right w:val="none"/>
          <w:insideH w:val="none"/>
          <w:insideV w:val="none"/>
        </w:tblBorders>
        <w:tblLayout/>
      </w:tblPr>
      <w:tblGrid>
        <w:gridCol w:w="5560"/>
        <w:gridCol w:w="3379"/>
        <w:gridCol w:w="3984"/>
        <w:gridCol w:w="3077"/>
      </w:tblGrid>
      <w:tr>
        <w:trPr>
          <w:trHeight w:val="30" w:hRule="atLeast"/>
        </w:trPr>
        <w:tc>
          <w:tcPr>
            <w:tcW w:w="55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Параметр</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 изоляции</w:t>
            </w:r>
          </w:p>
        </w:tc>
      </w:tr>
      <w:tr>
        <w:trPr>
          <w:trHeight w:val="30" w:hRule="atLeast"/>
        </w:trPr>
        <w:tc>
          <w:tcPr>
            <w:tcW w:w="0" w:type="auto"/>
            <w:vMerge/>
            <w:tcBorders>
              <w:top w:val="nil"/>
              <w:left w:val="single" w:color="cfcfcf" w:sz="8"/>
              <w:bottom w:val="single" w:color="cfcfcf" w:sz="8"/>
              <w:right w:val="single" w:color="cfcfcf" w:sz="8"/>
            </w:tcBorders>
          </w:tcP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Поливинилхлорид (ПВХ)</w:t>
            </w:r>
          </w:p>
        </w:tc>
        <w:tc>
          <w:tcPr>
            <w:tcW w:w="3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Сшитый полиэтилен, этиленпропиленовая резина</w:t>
            </w:r>
          </w:p>
        </w:tc>
        <w:tc>
          <w:tcPr>
            <w:tcW w:w="30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Бутиловая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резина</w:t>
            </w:r>
          </w:p>
        </w:tc>
      </w:tr>
      <w:tr>
        <w:trPr>
          <w:trHeight w:val="30" w:hRule="atLeast"/>
        </w:trPr>
        <w:tc>
          <w:tcPr>
            <w:tcW w:w="5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Начальная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3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30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r>
      <w:tr>
        <w:trPr>
          <w:trHeight w:val="30" w:hRule="atLeast"/>
        </w:trPr>
        <w:tc>
          <w:tcPr>
            <w:tcW w:w="5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Конечная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3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30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5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k</w:t>
            </w:r>
          </w:p>
        </w:tc>
        <w:tc>
          <w:tcPr>
            <w:tcW w:w="33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w:t>
            </w:r>
          </w:p>
        </w:tc>
        <w:tc>
          <w:tcPr>
            <w:tcW w:w="3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w:t>
            </w:r>
          </w:p>
        </w:tc>
        <w:tc>
          <w:tcPr>
            <w:tcW w:w="307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93</w:t>
            </w:r>
          </w:p>
        </w:tc>
      </w:tr>
    </w:tbl>
    <w:bookmarkEnd w:id="4978"/>
    <w:bookmarkStart w:name="637606434" w:id="4979"/>
    <w:p>
      <w:pPr>
        <w:spacing w:before="120" w:after="120" w:line="240"/>
        <w:ind w:left="0"/>
        <w:jc w:val="both"/>
      </w:pPr>
      <w:r>
        <w:rPr>
          <w:rFonts w:hint="default" w:ascii="Times New Roman" w:hAnsi="Times New Roman"/>
          <w:b/>
          <w:i w:val="false"/>
          <w:color w:val="000000"/>
          <w:sz w:val="24"/>
        </w:rPr>
        <w:t xml:space="preserve">Значение коэффициента k для неизолированных проводников, когда указанные температуры не создают опасности повреждения находящихся вблизи материалов (начальная температура проводника принята равной 30 </w:t>
      </w:r>
      <w:r>
        <w:rPr>
          <w:rFonts w:hint="default" w:ascii="Times New Roman" w:hAnsi="Times New Roman"/>
          <w:b/>
          <w:i w:val="false"/>
          <w:color w:val="000000"/>
          <w:vertAlign w:val="superscript"/>
        </w:rPr>
        <w:t>o</w:t>
      </w:r>
      <w:r>
        <w:rPr>
          <w:rFonts w:hint="default" w:ascii="Times New Roman" w:hAnsi="Times New Roman"/>
          <w:b/>
          <w:i w:val="false"/>
          <w:color w:val="000000"/>
          <w:sz w:val="24"/>
        </w:rPr>
        <w:t xml:space="preserve"> С)</w:t>
      </w:r>
    </w:p>
    <w:bookmarkEnd w:id="4979"/>
    <w:bookmarkStart w:name="637606435" w:id="498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50</w:t>
      </w:r>
    </w:p>
    <w:bookmarkEnd w:id="4980"/>
    <w:bookmarkStart w:name="637606436" w:id="4981"/>
    <w:tbl>
      <w:tblPr>
        <w:tblW w:w="18660" w:type="auto"/>
        <w:tblCellSpacing w:w="0" w:type="auto"/>
        <w:tblBorders>
          <w:top w:val="none"/>
          <w:left w:val="none"/>
          <w:bottom w:val="none"/>
          <w:right w:val="none"/>
          <w:insideH w:val="none"/>
          <w:insideV w:val="none"/>
        </w:tblBorders>
        <w:tblLayout/>
      </w:tblPr>
      <w:tblGrid>
        <w:gridCol w:w="2618"/>
        <w:gridCol w:w="3698"/>
        <w:gridCol w:w="3434"/>
        <w:gridCol w:w="2966"/>
        <w:gridCol w:w="3284"/>
      </w:tblGrid>
      <w:tr>
        <w:trPr>
          <w:trHeight w:val="30" w:hRule="atLeast"/>
        </w:trPr>
        <w:tc>
          <w:tcPr>
            <w:tcW w:w="261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 проводника</w:t>
            </w:r>
          </w:p>
        </w:tc>
        <w:tc>
          <w:tcPr>
            <w:tcW w:w="369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Условия</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Проводники</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343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Проложенные открыто и в специально отведенных местах</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Эксплуатируемые</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9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нормальной среде</w:t>
            </w:r>
          </w:p>
        </w:tc>
        <w:tc>
          <w:tcPr>
            <w:tcW w:w="32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пожароопасной среде</w:t>
            </w:r>
          </w:p>
        </w:tc>
      </w:tr>
      <w:tr>
        <w:trPr>
          <w:trHeight w:val="30" w:hRule="atLeast"/>
        </w:trPr>
        <w:tc>
          <w:tcPr>
            <w:tcW w:w="2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Медь</w:t>
            </w:r>
          </w:p>
        </w:tc>
        <w:tc>
          <w:tcPr>
            <w:tcW w:w="3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Максимальная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k</w:t>
            </w:r>
          </w:p>
        </w:tc>
        <w:tc>
          <w:tcPr>
            <w:tcW w:w="343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500 *</w:t>
            </w:r>
          </w:p>
          <w:p>
            <w:pPr>
              <w:spacing w:after="0"/>
              <w:ind w:left="14"/>
              <w:jc w:val="left"/>
            </w:pPr>
            <w:r>
              <w:rPr>
                <w:rFonts w:hint="default" w:ascii="Times New Roman" w:hAnsi="Times New Roman"/>
                <w:b w:val="false"/>
                <w:i w:val="false"/>
                <w:color w:val="000000"/>
                <w:sz w:val="24"/>
              </w:rPr>
              <w:t>228</w:t>
            </w:r>
          </w:p>
        </w:tc>
        <w:tc>
          <w:tcPr>
            <w:tcW w:w="29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200</w:t>
            </w:r>
          </w:p>
          <w:p>
            <w:pPr>
              <w:spacing w:after="0"/>
              <w:ind w:left="14"/>
              <w:jc w:val="left"/>
            </w:pPr>
            <w:r>
              <w:rPr>
                <w:rFonts w:hint="default" w:ascii="Times New Roman" w:hAnsi="Times New Roman"/>
                <w:b w:val="false"/>
                <w:i w:val="false"/>
                <w:color w:val="000000"/>
                <w:sz w:val="24"/>
              </w:rPr>
              <w:t>159</w:t>
            </w:r>
          </w:p>
        </w:tc>
        <w:tc>
          <w:tcPr>
            <w:tcW w:w="328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138</w:t>
            </w:r>
          </w:p>
        </w:tc>
      </w:tr>
      <w:tr>
        <w:trPr>
          <w:trHeight w:val="30" w:hRule="atLeast"/>
        </w:trPr>
        <w:tc>
          <w:tcPr>
            <w:tcW w:w="2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Алюминий</w:t>
            </w:r>
          </w:p>
        </w:tc>
        <w:tc>
          <w:tcPr>
            <w:tcW w:w="3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Максимальная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k</w:t>
            </w:r>
          </w:p>
        </w:tc>
        <w:tc>
          <w:tcPr>
            <w:tcW w:w="343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300 *</w:t>
            </w:r>
          </w:p>
          <w:p>
            <w:pPr>
              <w:spacing w:after="0"/>
              <w:ind w:left="14"/>
              <w:jc w:val="left"/>
            </w:pPr>
            <w:r>
              <w:rPr>
                <w:rFonts w:hint="default" w:ascii="Times New Roman" w:hAnsi="Times New Roman"/>
                <w:b w:val="false"/>
                <w:i w:val="false"/>
                <w:color w:val="000000"/>
                <w:sz w:val="24"/>
              </w:rPr>
              <w:t>125</w:t>
            </w:r>
          </w:p>
        </w:tc>
        <w:tc>
          <w:tcPr>
            <w:tcW w:w="29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200</w:t>
            </w:r>
          </w:p>
          <w:p>
            <w:pPr>
              <w:spacing w:after="0"/>
              <w:ind w:left="14"/>
              <w:jc w:val="left"/>
            </w:pPr>
            <w:r>
              <w:rPr>
                <w:rFonts w:hint="default" w:ascii="Times New Roman" w:hAnsi="Times New Roman"/>
                <w:b w:val="false"/>
                <w:i w:val="false"/>
                <w:color w:val="000000"/>
                <w:sz w:val="24"/>
              </w:rPr>
              <w:t>105</w:t>
            </w:r>
          </w:p>
        </w:tc>
        <w:tc>
          <w:tcPr>
            <w:tcW w:w="328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91</w:t>
            </w:r>
          </w:p>
        </w:tc>
      </w:tr>
      <w:tr>
        <w:trPr>
          <w:trHeight w:val="30" w:hRule="atLeast"/>
        </w:trPr>
        <w:tc>
          <w:tcPr>
            <w:tcW w:w="2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Сталь</w:t>
            </w:r>
          </w:p>
        </w:tc>
        <w:tc>
          <w:tcPr>
            <w:tcW w:w="3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Максимальная 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k</w:t>
            </w:r>
          </w:p>
        </w:tc>
        <w:tc>
          <w:tcPr>
            <w:tcW w:w="343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500 *</w:t>
            </w:r>
          </w:p>
          <w:p>
            <w:pPr>
              <w:spacing w:after="0"/>
              <w:ind w:left="14"/>
              <w:jc w:val="left"/>
            </w:pPr>
            <w:r>
              <w:rPr>
                <w:rFonts w:hint="default" w:ascii="Times New Roman" w:hAnsi="Times New Roman"/>
                <w:b w:val="false"/>
                <w:i w:val="false"/>
                <w:color w:val="000000"/>
                <w:sz w:val="24"/>
              </w:rPr>
              <w:t>82</w:t>
            </w:r>
          </w:p>
        </w:tc>
        <w:tc>
          <w:tcPr>
            <w:tcW w:w="29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200</w:t>
            </w:r>
          </w:p>
          <w:p>
            <w:pPr>
              <w:spacing w:after="0"/>
              <w:ind w:left="14"/>
              <w:jc w:val="left"/>
            </w:pPr>
            <w:r>
              <w:rPr>
                <w:rFonts w:hint="default" w:ascii="Times New Roman" w:hAnsi="Times New Roman"/>
                <w:b w:val="false"/>
                <w:i w:val="false"/>
                <w:color w:val="000000"/>
                <w:sz w:val="24"/>
              </w:rPr>
              <w:t>58</w:t>
            </w:r>
          </w:p>
        </w:tc>
        <w:tc>
          <w:tcPr>
            <w:tcW w:w="328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150</w:t>
            </w:r>
          </w:p>
          <w:p>
            <w:pPr>
              <w:spacing w:after="0"/>
              <w:ind w:left="14"/>
              <w:jc w:val="left"/>
            </w:pPr>
            <w:r>
              <w:rPr>
                <w:rFonts w:hint="default" w:ascii="Times New Roman" w:hAnsi="Times New Roman"/>
                <w:b w:val="false"/>
                <w:i w:val="false"/>
                <w:color w:val="000000"/>
                <w:sz w:val="24"/>
              </w:rPr>
              <w:t>50</w:t>
            </w:r>
          </w:p>
        </w:tc>
      </w:tr>
    </w:tbl>
    <w:bookmarkEnd w:id="4981"/>
    <w:bookmarkStart w:name="637606437" w:id="49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Указанные температуры допускаются, если они не ухудшают качество соединений.</w:t>
      </w:r>
    </w:p>
    <w:bookmarkEnd w:id="4982"/>
    <w:bookmarkStart w:name="637606438" w:id="4983"/>
    <w:p>
      <w:pPr>
        <w:spacing w:before="120" w:after="120" w:line="240"/>
        <w:ind w:left="0"/>
        <w:jc w:val="both"/>
      </w:pPr>
      <w:r>
        <w:rPr>
          <w:rFonts w:hint="default" w:ascii="Times New Roman" w:hAnsi="Times New Roman"/>
          <w:b/>
          <w:i w:val="false"/>
          <w:color w:val="000000"/>
          <w:sz w:val="24"/>
        </w:rPr>
        <w:t>Наибольшее допустимое время защитного автоматического отключения в передвижных электроустановках, питающихся от автономного источника с изолированной нейтралью</w:t>
      </w:r>
    </w:p>
    <w:bookmarkEnd w:id="4983"/>
    <w:bookmarkStart w:name="637606439" w:id="498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51</w:t>
      </w:r>
    </w:p>
    <w:bookmarkEnd w:id="4984"/>
    <w:bookmarkStart w:name="637606440" w:id="4985"/>
    <w:tbl>
      <w:tblPr>
        <w:tblW w:w="18660" w:type="auto"/>
        <w:tblCellSpacing w:w="0" w:type="auto"/>
        <w:tblBorders>
          <w:top w:val="none"/>
          <w:left w:val="none"/>
          <w:bottom w:val="none"/>
          <w:right w:val="none"/>
          <w:insideH w:val="none"/>
          <w:insideV w:val="none"/>
        </w:tblBorders>
        <w:tblLayout/>
      </w:tblPr>
      <w:tblGrid>
        <w:gridCol w:w="7748"/>
        <w:gridCol w:w="8252"/>
      </w:tblGrid>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линейное напряжение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В</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с</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0,06</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660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r>
    </w:tbl>
    <w:bookmarkEnd w:id="4985"/>
    <w:bookmarkStart w:name="637606441" w:id="4986"/>
    <w:p>
      <w:pPr>
        <w:spacing w:before="120" w:after="120" w:line="240"/>
        <w:ind w:left="0"/>
        <w:jc w:val="both"/>
      </w:pPr>
      <w:r>
        <w:rPr>
          <w:rFonts w:hint="default" w:ascii="Times New Roman" w:hAnsi="Times New Roman"/>
          <w:b/>
          <w:i w:val="false"/>
          <w:color w:val="000000"/>
          <w:sz w:val="24"/>
        </w:rPr>
        <w:t>Наибольшее допустимое время защитного автоматического</w:t>
      </w:r>
      <w:r>
        <w:br/>
      </w:r>
      <w:r>
        <w:rPr>
          <w:rFonts w:hint="default" w:ascii="Times New Roman" w:hAnsi="Times New Roman"/>
          <w:b/>
          <w:i w:val="false"/>
          <w:color w:val="000000"/>
          <w:sz w:val="24"/>
        </w:rPr>
        <w:t>
отключения в помещениях для содержания животных</w:t>
      </w:r>
    </w:p>
    <w:bookmarkEnd w:id="4986"/>
    <w:bookmarkStart w:name="637606442" w:id="498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52</w:t>
      </w:r>
    </w:p>
    <w:bookmarkEnd w:id="4987"/>
    <w:bookmarkStart w:name="637606443" w:id="4988"/>
    <w:tbl>
      <w:tblPr>
        <w:tblW w:w="18660" w:type="auto"/>
        <w:tblCellSpacing w:w="0" w:type="auto"/>
        <w:tblBorders>
          <w:top w:val="none"/>
          <w:left w:val="none"/>
          <w:bottom w:val="none"/>
          <w:right w:val="none"/>
          <w:insideH w:val="none"/>
          <w:insideV w:val="none"/>
        </w:tblBorders>
        <w:tblLayout/>
      </w:tblPr>
      <w:tblGrid>
        <w:gridCol w:w="7748"/>
        <w:gridCol w:w="8252"/>
      </w:tblGrid>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фазное напряжение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В</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с</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0,35</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r>
      <w:tr>
        <w:trPr>
          <w:trHeight w:val="30" w:hRule="atLeast"/>
        </w:trPr>
        <w:tc>
          <w:tcPr>
            <w:tcW w:w="77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c>
          <w:tcPr>
            <w:tcW w:w="82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0,05</w:t>
            </w:r>
          </w:p>
        </w:tc>
      </w:tr>
    </w:tbl>
    <w:bookmarkEnd w:id="4988"/>
    <w:bookmarkStart w:name="637606444" w:id="4989"/>
    <w:p>
      <w:pPr>
        <w:spacing w:before="120" w:after="120" w:line="240"/>
        <w:ind w:left="0"/>
        <w:jc w:val="both"/>
      </w:pPr>
      <w:r>
        <w:rPr>
          <w:rFonts w:hint="default" w:ascii="Times New Roman" w:hAnsi="Times New Roman"/>
          <w:b/>
          <w:i w:val="false"/>
          <w:color w:val="000000"/>
          <w:sz w:val="24"/>
        </w:rPr>
        <w:t>Допустимое сопротивление изоляции</w:t>
      </w:r>
    </w:p>
    <w:bookmarkEnd w:id="4989"/>
    <w:bookmarkStart w:name="637606445" w:id="499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53</w:t>
      </w:r>
    </w:p>
    <w:bookmarkEnd w:id="4990"/>
    <w:bookmarkStart w:name="637606446" w:id="4991"/>
    <w:tbl>
      <w:tblPr>
        <w:tblW w:w="18660" w:type="auto"/>
        <w:tblCellSpacing w:w="0" w:type="auto"/>
        <w:tblBorders>
          <w:top w:val="none"/>
          <w:left w:val="none"/>
          <w:bottom w:val="none"/>
          <w:right w:val="none"/>
          <w:insideH w:val="none"/>
          <w:insideV w:val="none"/>
        </w:tblBorders>
        <w:tblLayout/>
      </w:tblPr>
      <w:tblGrid>
        <w:gridCol w:w="5945"/>
        <w:gridCol w:w="3025"/>
        <w:gridCol w:w="7030"/>
      </w:tblGrid>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мегаомметра, кВ</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 напряжением до 1 кВ (каждая фаза в отдельности относительно корпуса и других заземленных фаз)</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0,5 МОм при температуре 10–30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o</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 напряжением выше 1 кВ</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Должно соответствовать требованиям, приведенным в разд. 3 «Электрические машины» СНиП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коллекторах, изолированных от внешней системы охлаждения</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ротора</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(допускается 0,5)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0,5 МОм при температуре 10–30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o</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Допускается ввод в эксплуатацию неявнополюсных роторов, имеющих сопротивление изоляции не ниже 2 кОм при температуре +75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o</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или 20 кОм при +20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o</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Обмотки коллекторных возбудителя и подвозбудителя</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0,5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Бандажи якоря и коллектора коллекторных возбудителя и подвозбудителя</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1,0 МОм при заземленной обмотке якоря</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Подшипники генератора и сопряженного с ним возбудителя</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Водородные уплотнения вала</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Щиты вентиляторов турбогенераторов серии ТВВ</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относительно внутреннего щита и между полущитами вентиляторов, должно быть не менее 0,5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Щиты вентиляторов турбогенераторов серии ТГВ</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между частями диффузоров, должно быть 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Доступные изолированные стяжные болты стали статора</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Диффузор и обтекатель у турбогенераторов серии ТГВ</w:t>
            </w:r>
          </w:p>
        </w:tc>
        <w:tc>
          <w:tcPr>
            <w:tcW w:w="302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0"/>
              <w:ind w:left="14"/>
              <w:jc w:val="left"/>
            </w:pPr>
            <w:r>
              <w:rPr>
                <w:rFonts w:hint="default" w:ascii="Times New Roman" w:hAnsi="Times New Roman"/>
                <w:b w:val="false"/>
                <w:i w:val="false"/>
                <w:color w:val="000000"/>
                <w:sz w:val="24"/>
              </w:rPr>
              <w:t>0,5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Термоиндикаторы генераторов и синхронных компенсаторов: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косвенным охлаждением обмоток статора</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совместно с сопротивлением соединительных проводов, должно быть 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непосредственным охлаждением обмоток статора</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совместно с сопротивлением соединительных проводов, должно быть не менее 0,5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Цепи возбуждения генератора и возбудителя (без обмоток, ротора и электромашинного возбудителя)</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(допускается 0,5)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измеренное с сопротивлением всей присоединенной аппаратуры, должно быть не менее 1 МОм</w:t>
            </w:r>
          </w:p>
        </w:tc>
      </w:tr>
      <w:tr>
        <w:trPr>
          <w:trHeight w:val="30" w:hRule="atLeast"/>
        </w:trPr>
        <w:tc>
          <w:tcPr>
            <w:tcW w:w="5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Концевой вывод обмотки статора турбогенераторов серии ТГВ</w:t>
            </w:r>
          </w:p>
        </w:tc>
        <w:tc>
          <w:tcPr>
            <w:tcW w:w="3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70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 МОм Измерение производится до соединения вывода с обмоткой статора</w:t>
            </w:r>
          </w:p>
        </w:tc>
      </w:tr>
    </w:tbl>
    <w:bookmarkEnd w:id="4991"/>
    <w:bookmarkStart w:name="637606447" w:id="4992"/>
    <w:p>
      <w:pPr>
        <w:spacing w:before="120" w:after="120" w:line="240"/>
        <w:ind w:left="0"/>
        <w:jc w:val="both"/>
      </w:pPr>
      <w:r>
        <w:rPr>
          <w:rFonts w:hint="default" w:ascii="Times New Roman" w:hAnsi="Times New Roman"/>
          <w:b/>
          <w:i w:val="false"/>
          <w:color w:val="000000"/>
          <w:sz w:val="24"/>
        </w:rPr>
        <w:t>Испытательное выпрямленное напряжение</w:t>
      </w:r>
      <w:r>
        <w:br/>
      </w:r>
      <w:r>
        <w:rPr>
          <w:rFonts w:hint="default" w:ascii="Times New Roman" w:hAnsi="Times New Roman"/>
          <w:b/>
          <w:i w:val="false"/>
          <w:color w:val="000000"/>
          <w:sz w:val="24"/>
        </w:rPr>
        <w:t>
для обмоток статоров синхронных генераторов и компенсаторов</w:t>
      </w:r>
    </w:p>
    <w:bookmarkEnd w:id="4992"/>
    <w:bookmarkStart w:name="637606448" w:id="499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54</w:t>
      </w:r>
    </w:p>
    <w:bookmarkEnd w:id="4993"/>
    <w:bookmarkStart w:name="637606449" w:id="4994"/>
    <w:tbl>
      <w:tblPr>
        <w:tblW w:w="18660" w:type="auto"/>
        <w:tblCellSpacing w:w="0" w:type="auto"/>
        <w:tblBorders>
          <w:top w:val="none"/>
          <w:left w:val="none"/>
          <w:bottom w:val="none"/>
          <w:right w:val="none"/>
          <w:insideH w:val="none"/>
          <w:insideV w:val="none"/>
        </w:tblBorders>
        <w:tblLayout/>
      </w:tblPr>
      <w:tblGrid>
        <w:gridCol w:w="5133"/>
        <w:gridCol w:w="5205"/>
        <w:gridCol w:w="5662"/>
      </w:tblGrid>
      <w:tr>
        <w:trPr>
          <w:trHeight w:val="30" w:hRule="atLeast"/>
        </w:trPr>
        <w:tc>
          <w:tcPr>
            <w:tcW w:w="51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генератора, МВт, компенсатора, МВ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w:t>
            </w:r>
          </w:p>
        </w:tc>
        <w:tc>
          <w:tcPr>
            <w:tcW w:w="52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кВ</w:t>
            </w:r>
          </w:p>
        </w:tc>
        <w:tc>
          <w:tcPr>
            <w:tcW w:w="56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Амплитудное испытательное напряжение, кВ</w:t>
            </w:r>
          </w:p>
        </w:tc>
      </w:tr>
      <w:tr>
        <w:trPr>
          <w:trHeight w:val="30" w:hRule="atLeast"/>
        </w:trPr>
        <w:tc>
          <w:tcPr>
            <w:tcW w:w="51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1</w:t>
            </w:r>
          </w:p>
        </w:tc>
        <w:tc>
          <w:tcPr>
            <w:tcW w:w="52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Все напряжения</w:t>
            </w:r>
          </w:p>
        </w:tc>
        <w:tc>
          <w:tcPr>
            <w:tcW w:w="56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+ 1,2</w:t>
            </w:r>
          </w:p>
        </w:tc>
      </w:tr>
      <w:tr>
        <w:trPr>
          <w:trHeight w:val="30" w:hRule="atLeast"/>
        </w:trPr>
        <w:tc>
          <w:tcPr>
            <w:tcW w:w="51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и более</w:t>
            </w:r>
          </w:p>
        </w:tc>
        <w:tc>
          <w:tcPr>
            <w:tcW w:w="52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Выше 3,3 до 6,6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Выше 6,6</w:t>
            </w:r>
          </w:p>
        </w:tc>
        <w:tc>
          <w:tcPr>
            <w:tcW w:w="56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+ 3,6</w:t>
            </w:r>
          </w:p>
        </w:tc>
      </w:tr>
    </w:tbl>
    <w:bookmarkEnd w:id="4994"/>
    <w:bookmarkStart w:name="637606450" w:id="4995"/>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w:t>
      </w:r>
      <w:r>
        <w:br/>
      </w:r>
      <w:r>
        <w:rPr>
          <w:rFonts w:hint="default" w:ascii="Times New Roman" w:hAnsi="Times New Roman"/>
          <w:b/>
          <w:i w:val="false"/>
          <w:color w:val="000000"/>
          <w:sz w:val="24"/>
        </w:rPr>
        <w:t>
для обмоток синхронных генераторов и компенсаторов</w:t>
      </w:r>
    </w:p>
    <w:bookmarkEnd w:id="4995"/>
    <w:bookmarkStart w:name="637606451" w:id="499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55</w:t>
      </w:r>
    </w:p>
    <w:bookmarkEnd w:id="4996"/>
    <w:bookmarkStart w:name="637606452" w:id="4997"/>
    <w:tbl>
      <w:tblPr>
        <w:tblW w:w="18660" w:type="auto"/>
        <w:tblCellSpacing w:w="0" w:type="auto"/>
        <w:tblBorders>
          <w:top w:val="none"/>
          <w:left w:val="none"/>
          <w:bottom w:val="none"/>
          <w:right w:val="none"/>
          <w:insideH w:val="none"/>
          <w:insideV w:val="none"/>
        </w:tblBorders>
        <w:tblLayout/>
      </w:tblPr>
      <w:tblGrid>
        <w:gridCol w:w="5632"/>
        <w:gridCol w:w="5629"/>
        <w:gridCol w:w="4739"/>
      </w:tblGrid>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электрической машины</w:t>
            </w:r>
          </w:p>
        </w:tc>
        <w:tc>
          <w:tcPr>
            <w:tcW w:w="4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4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 синхронного генератора и компенсатора</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до 1 МВт, номинальное напряжение выше 100 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более 1 МВт, номинальное напряжение до 3,3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То же, но номинальное напряжение выше 3,3 кВ до 6,6 кВ</w:t>
            </w:r>
          </w:p>
        </w:tc>
        <w:tc>
          <w:tcPr>
            <w:tcW w:w="473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 не менее 1,2</w:t>
            </w:r>
          </w:p>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r>
              <w:rPr>
                <w:rFonts w:hint="default" w:ascii="Times New Roman" w:hAnsi="Times New Roman"/>
                <w:b w:val="false"/>
                <w:i w:val="false"/>
                <w:color w:val="000000"/>
                <w:sz w:val="24"/>
              </w:rPr>
              <w:t xml:space="preserve"> </w:t>
            </w:r>
          </w:p>
          <w:p>
            <w:pPr>
              <w:spacing w:after="0"/>
              <w:ind w:left="14"/>
              <w:jc w:val="left"/>
            </w:pPr>
            <w:r>
              <w:rPr>
                <w:rFonts w:hint="default" w:ascii="Times New Roman" w:hAnsi="Times New Roman"/>
                <w:b w:val="false"/>
                <w:i w:val="false"/>
                <w:color w:val="000000"/>
                <w:sz w:val="24"/>
              </w:rPr>
              <w:t>2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от 1 МВт и выше, номинальное напряжение свыше 6,6 до 20 кВ включительно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от 1 МВт и выше, номинальное напряжение свыше 20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от 1 МВт и выше, номинальное напряжение до 3,3 кВ включительно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от 1 МВт и выше, номинальное напряжение свыше 3,3 до 6,6 кВ включительно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от 1 МВт и выше, номинальное напряжение до 20 кВ включительно</w:t>
            </w:r>
          </w:p>
        </w:tc>
        <w:tc>
          <w:tcPr>
            <w:tcW w:w="473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+ 2,4</w:t>
            </w:r>
          </w:p>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p>
          <w:p>
            <w:pPr>
              <w:spacing w:after="14"/>
              <w:ind w:left="14"/>
              <w:jc w:val="left"/>
            </w:pPr>
            <w:r>
              <w:rPr>
                <w:rFonts w:hint="default" w:ascii="Times New Roman" w:hAnsi="Times New Roman"/>
                <w:b w:val="false"/>
                <w:i w:val="false"/>
                <w:color w:val="000000"/>
                <w:sz w:val="24"/>
              </w:rPr>
              <w:t>2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+ 1</w:t>
            </w:r>
          </w:p>
          <w:p>
            <w:pPr>
              <w:spacing w:after="14"/>
              <w:ind w:left="14"/>
              <w:jc w:val="left"/>
            </w:pPr>
            <w:r>
              <w:rPr>
                <w:rFonts w:hint="default" w:ascii="Times New Roman" w:hAnsi="Times New Roman"/>
                <w:b w:val="false"/>
                <w:i w:val="false"/>
                <w:color w:val="000000"/>
                <w:sz w:val="24"/>
              </w:rPr>
              <w:t>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p>
          <w:p>
            <w:pPr>
              <w:spacing w:after="14"/>
              <w:ind w:left="14"/>
              <w:jc w:val="left"/>
            </w:pPr>
            <w:r>
              <w:rPr>
                <w:rFonts w:hint="default" w:ascii="Times New Roman" w:hAnsi="Times New Roman"/>
                <w:b w:val="false"/>
                <w:i w:val="false"/>
                <w:color w:val="000000"/>
                <w:sz w:val="24"/>
              </w:rPr>
              <w:t>2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w:t>
            </w:r>
          </w:p>
          <w:p>
            <w:pPr>
              <w:spacing w:after="0"/>
              <w:ind w:left="14"/>
              <w:jc w:val="left"/>
            </w:pPr>
            <w:r>
              <w:rPr>
                <w:rFonts w:hint="default" w:ascii="Times New Roman" w:hAnsi="Times New Roman"/>
                <w:b w:val="false"/>
                <w:i w:val="false"/>
                <w:color w:val="000000"/>
                <w:sz w:val="24"/>
              </w:rPr>
              <w:t>8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возбуждения генератора, но не ниже 1,2 кВ и не выше 2,8 кВ</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явнополюсного ротора</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Генераторы всех мощностей</w:t>
            </w:r>
          </w:p>
        </w:tc>
        <w:tc>
          <w:tcPr>
            <w:tcW w:w="4739"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коллекторных возбудителя и подвозбудителя</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Генераторы всех мощностей</w:t>
            </w:r>
          </w:p>
        </w:tc>
        <w:tc>
          <w:tcPr>
            <w:tcW w:w="4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возбуждения генератора, но не ниже 1,2 кВ и не выше 2,8 кВ (относительно корпуса и бандажей)</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неявнополюсного ротора</w:t>
            </w:r>
          </w:p>
        </w:tc>
        <w:tc>
          <w:tcPr>
            <w:tcW w:w="56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Генераторы всех мощностей</w:t>
            </w:r>
          </w:p>
        </w:tc>
        <w:tc>
          <w:tcPr>
            <w:tcW w:w="47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trPr>
          <w:trHeight w:val="30" w:hRule="atLeast"/>
        </w:trPr>
        <w:tc>
          <w:tcPr>
            <w:tcW w:w="5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Цепи возбуждения генератора со всей присоединенной аппаратурой (без обмоток ротора и возбудителя)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Реостат возбуждения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Резистор гашения поля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Заземляющий резистор</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Концевой вывод обмотки статора (испытания проводятся до установки концевых выводов на турбогенератор)</w:t>
            </w:r>
          </w:p>
        </w:tc>
        <w:tc>
          <w:tcPr>
            <w:tcW w:w="562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Генераторы всех мощностей</w:t>
            </w:r>
          </w:p>
          <w:p>
            <w:pPr>
              <w:spacing w:after="14"/>
              <w:ind w:left="14"/>
              <w:jc w:val="left"/>
            </w:pPr>
            <w:r>
              <w:rPr>
                <w:rFonts w:hint="default" w:ascii="Times New Roman" w:hAnsi="Times New Roman"/>
                <w:b w:val="false"/>
                <w:i w:val="false"/>
                <w:color w:val="000000"/>
                <w:sz w:val="24"/>
              </w:rPr>
              <w:t>Генераторы всех мощностей</w:t>
            </w:r>
          </w:p>
          <w:p>
            <w:pPr>
              <w:spacing w:after="14"/>
              <w:ind w:left="14"/>
              <w:jc w:val="left"/>
            </w:pPr>
            <w:r>
              <w:rPr>
                <w:rFonts w:hint="default" w:ascii="Times New Roman" w:hAnsi="Times New Roman"/>
                <w:b w:val="false"/>
                <w:i w:val="false"/>
                <w:color w:val="000000"/>
                <w:sz w:val="24"/>
              </w:rPr>
              <w:t>Генераторы всех мощностей</w:t>
            </w:r>
          </w:p>
          <w:p>
            <w:pPr>
              <w:spacing w:after="14"/>
              <w:ind w:left="14"/>
              <w:jc w:val="left"/>
            </w:pPr>
            <w:r>
              <w:rPr>
                <w:rFonts w:hint="default" w:ascii="Times New Roman" w:hAnsi="Times New Roman"/>
                <w:b w:val="false"/>
                <w:i w:val="false"/>
                <w:color w:val="000000"/>
                <w:sz w:val="24"/>
              </w:rPr>
              <w:t>Генераторы всех мощностей</w:t>
            </w:r>
          </w:p>
          <w:p>
            <w:pPr>
              <w:spacing w:after="14"/>
              <w:ind w:left="14"/>
              <w:jc w:val="left"/>
            </w:pPr>
            <w:r>
              <w:rPr>
                <w:rFonts w:hint="default" w:ascii="Times New Roman" w:hAnsi="Times New Roman"/>
                <w:b w:val="false"/>
                <w:i w:val="false"/>
                <w:color w:val="000000"/>
                <w:sz w:val="24"/>
              </w:rPr>
              <w:t>ТГВ-200, ТГВ-200М,</w:t>
            </w:r>
          </w:p>
          <w:p>
            <w:pPr>
              <w:spacing w:after="0"/>
              <w:ind w:left="14"/>
              <w:jc w:val="left"/>
            </w:pPr>
            <w:r>
              <w:rPr>
                <w:rFonts w:hint="default" w:ascii="Times New Roman" w:hAnsi="Times New Roman"/>
                <w:b w:val="false"/>
                <w:i w:val="false"/>
                <w:color w:val="000000"/>
                <w:sz w:val="24"/>
              </w:rPr>
              <w:t>ТГВ-300, ТГВ-500</w:t>
            </w:r>
          </w:p>
        </w:tc>
        <w:tc>
          <w:tcPr>
            <w:tcW w:w="473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w:t>
            </w:r>
          </w:p>
          <w:p>
            <w:pPr>
              <w:spacing w:after="14"/>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p>
          <w:p>
            <w:pPr>
              <w:spacing w:after="14"/>
              <w:ind w:left="14"/>
              <w:jc w:val="left"/>
            </w:pPr>
            <w:r>
              <w:rPr>
                <w:rFonts w:hint="default" w:ascii="Times New Roman" w:hAnsi="Times New Roman"/>
                <w:b w:val="false"/>
                <w:i w:val="false"/>
                <w:color w:val="000000"/>
                <w:sz w:val="24"/>
              </w:rPr>
              <w:t>1,5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генератора</w:t>
            </w:r>
          </w:p>
          <w:p>
            <w:pPr>
              <w:spacing w:after="14"/>
              <w:ind w:left="14"/>
              <w:jc w:val="left"/>
            </w:pPr>
            <w:r>
              <w:rPr>
                <w:rFonts w:hint="default" w:ascii="Times New Roman" w:hAnsi="Times New Roman"/>
                <w:b w:val="false"/>
                <w:i w:val="false"/>
                <w:color w:val="000000"/>
                <w:sz w:val="24"/>
              </w:rPr>
              <w:t>31,0*, 34,5**</w:t>
            </w:r>
          </w:p>
          <w:p>
            <w:pPr>
              <w:spacing w:after="0"/>
              <w:ind w:left="14"/>
              <w:jc w:val="left"/>
            </w:pPr>
            <w:r>
              <w:rPr>
                <w:rFonts w:hint="default" w:ascii="Times New Roman" w:hAnsi="Times New Roman"/>
                <w:b w:val="false"/>
                <w:i w:val="false"/>
                <w:color w:val="000000"/>
                <w:sz w:val="24"/>
              </w:rPr>
              <w:t>39,0*, 43,0**</w:t>
            </w:r>
          </w:p>
        </w:tc>
      </w:tr>
    </w:tbl>
    <w:bookmarkEnd w:id="4997"/>
    <w:bookmarkStart w:name="637606453" w:id="49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Для концевых выводов, испытанных на заводе вместе с изоляцией обмотки статора.</w:t>
      </w:r>
    </w:p>
    <w:bookmarkEnd w:id="4998"/>
    <w:bookmarkStart w:name="637606454" w:id="49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Для резервных концевых выводов перед установкой на турбогенератор.</w:t>
      </w:r>
    </w:p>
    <w:bookmarkEnd w:id="4999"/>
    <w:bookmarkStart w:name="637606455" w:id="5000"/>
    <w:p>
      <w:pPr>
        <w:spacing w:before="120" w:after="120" w:line="240"/>
        <w:ind w:left="0"/>
        <w:jc w:val="both"/>
      </w:pPr>
      <w:r>
        <w:rPr>
          <w:rFonts w:hint="default" w:ascii="Times New Roman" w:hAnsi="Times New Roman"/>
          <w:b/>
          <w:i w:val="false"/>
          <w:color w:val="000000"/>
          <w:sz w:val="24"/>
        </w:rPr>
        <w:t>Допустимое отклонение сопротивления постоянному току</w:t>
      </w:r>
    </w:p>
    <w:bookmarkEnd w:id="5000"/>
    <w:bookmarkStart w:name="637606456" w:id="500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56</w:t>
      </w:r>
    </w:p>
    <w:bookmarkEnd w:id="5001"/>
    <w:bookmarkStart w:name="637606457" w:id="5002"/>
    <w:tbl>
      <w:tblPr>
        <w:tblW w:w="18660" w:type="auto"/>
        <w:tblCellSpacing w:w="0" w:type="auto"/>
        <w:tblBorders>
          <w:top w:val="none"/>
          <w:left w:val="none"/>
          <w:bottom w:val="none"/>
          <w:right w:val="none"/>
          <w:insideH w:val="none"/>
          <w:insideV w:val="none"/>
        </w:tblBorders>
        <w:tblLayout/>
      </w:tblPr>
      <w:tblGrid>
        <w:gridCol w:w="3717"/>
        <w:gridCol w:w="12283"/>
      </w:tblGrid>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 (измерение производить для каждой фазы или ветви в отдельности)</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Измерение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ротора</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Обмотки возбуждения коллекторного возбудителя</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Значение измеренного сопротивления не должно отличаться от исходных данных более чем на 2%</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якоря возбудителя (между коллекторными пластинами)</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Значения измеренного сопротивления не должны отличаться друг от друга более чем на 10%, за исключением случаев, когда это обусловлено схемой соединения</w:t>
            </w:r>
          </w:p>
        </w:tc>
      </w:tr>
      <w:tr>
        <w:trPr>
          <w:trHeight w:val="30" w:hRule="atLeast"/>
        </w:trPr>
        <w:tc>
          <w:tcPr>
            <w:tcW w:w="37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Резистор гашения поля, реостаты возбуждения</w:t>
            </w:r>
          </w:p>
        </w:tc>
        <w:tc>
          <w:tcPr>
            <w:tcW w:w="12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не должно отличаться от данных завода-изготовителя более чем на 10%</w:t>
            </w:r>
          </w:p>
        </w:tc>
      </w:tr>
    </w:tbl>
    <w:bookmarkEnd w:id="5002"/>
    <w:bookmarkStart w:name="637606458" w:id="5003"/>
    <w:p>
      <w:pPr>
        <w:spacing w:before="120" w:after="120" w:line="240"/>
        <w:ind w:left="0"/>
        <w:jc w:val="both"/>
      </w:pPr>
      <w:r>
        <w:rPr>
          <w:rFonts w:hint="default" w:ascii="Times New Roman" w:hAnsi="Times New Roman"/>
          <w:b/>
          <w:i w:val="false"/>
          <w:color w:val="000000"/>
          <w:sz w:val="24"/>
        </w:rPr>
        <w:t>Наибольшая допустимая вибрация подшипников (крестовины)</w:t>
      </w:r>
      <w:r>
        <w:br/>
      </w:r>
      <w:r>
        <w:rPr>
          <w:rFonts w:hint="default" w:ascii="Times New Roman" w:hAnsi="Times New Roman"/>
          <w:b/>
          <w:i w:val="false"/>
          <w:color w:val="000000"/>
          <w:sz w:val="24"/>
        </w:rPr>
        <w:t>
синхронных генераторов, компенсаторов и их возбудителей</w:t>
      </w:r>
    </w:p>
    <w:bookmarkEnd w:id="5003"/>
    <w:bookmarkStart w:name="637606459" w:id="500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57</w:t>
      </w:r>
    </w:p>
    <w:bookmarkEnd w:id="5004"/>
    <w:bookmarkStart w:name="637606460" w:id="5005"/>
    <w:tbl>
      <w:tblPr>
        <w:tblW w:w="18660" w:type="auto"/>
        <w:tblCellSpacing w:w="0" w:type="auto"/>
        <w:tblBorders>
          <w:top w:val="none"/>
          <w:left w:val="none"/>
          <w:bottom w:val="none"/>
          <w:right w:val="none"/>
          <w:insideH w:val="none"/>
          <w:insideV w:val="none"/>
        </w:tblBorders>
        <w:tblLayout/>
      </w:tblPr>
      <w:tblGrid>
        <w:gridCol w:w="4627"/>
        <w:gridCol w:w="2153"/>
        <w:gridCol w:w="2906"/>
        <w:gridCol w:w="2069"/>
        <w:gridCol w:w="2122"/>
        <w:gridCol w:w="2123"/>
      </w:tblGrid>
      <w:tr>
        <w:trPr>
          <w:trHeight w:val="30" w:hRule="atLeast"/>
        </w:trPr>
        <w:tc>
          <w:tcPr>
            <w:tcW w:w="46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Номинальная частота вращения ротора, мин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 *</w:t>
            </w:r>
          </w:p>
        </w:tc>
        <w:tc>
          <w:tcPr>
            <w:tcW w:w="29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1500–500 **</w:t>
            </w:r>
          </w:p>
        </w:tc>
        <w:tc>
          <w:tcPr>
            <w:tcW w:w="20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375–214</w:t>
            </w:r>
          </w:p>
        </w:tc>
        <w:tc>
          <w:tcPr>
            <w:tcW w:w="21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187</w:t>
            </w:r>
          </w:p>
        </w:tc>
        <w:tc>
          <w:tcPr>
            <w:tcW w:w="21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p>
        </w:tc>
      </w:tr>
      <w:tr>
        <w:trPr>
          <w:trHeight w:val="30" w:hRule="atLeast"/>
        </w:trPr>
        <w:tc>
          <w:tcPr>
            <w:tcW w:w="46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Вибрация, мкм</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29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c>
          <w:tcPr>
            <w:tcW w:w="20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1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1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r>
    </w:tbl>
    <w:bookmarkEnd w:id="5005"/>
    <w:bookmarkStart w:name="637606461" w:id="50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Для генераторов блоков мощностью 150 МВт и более вибрация не должна превышать 30 мкм.</w:t>
      </w:r>
    </w:p>
    <w:bookmarkEnd w:id="5006"/>
    <w:bookmarkStart w:name="637606462" w:id="5007"/>
    <w:p>
      <w:pPr>
        <w:spacing w:before="120" w:after="120" w:line="240"/>
        <w:ind w:left="0"/>
        <w:jc w:val="both"/>
      </w:pPr>
      <w:r>
        <w:rPr>
          <w:rFonts w:hint="default" w:ascii="Times New Roman" w:hAnsi="Times New Roman"/>
          <w:b w:val="false"/>
          <w:i w:val="false"/>
          <w:color w:val="000000"/>
          <w:sz w:val="24"/>
        </w:rPr>
        <w:t>** Для синхронных компенсаторов с частотой вращения ротора 750–1000 мин</w:t>
      </w: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вибрация не должна превышать 80 мкм.</w:t>
      </w:r>
    </w:p>
    <w:bookmarkEnd w:id="5007"/>
    <w:bookmarkStart w:name="637606463" w:id="5008"/>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для изоляции машин постоянного тока</w:t>
      </w:r>
    </w:p>
    <w:bookmarkEnd w:id="5008"/>
    <w:bookmarkStart w:name="637606464" w:id="500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58</w:t>
      </w:r>
    </w:p>
    <w:bookmarkEnd w:id="5009"/>
    <w:bookmarkStart w:name="637606465" w:id="5010"/>
    <w:tbl>
      <w:tblPr>
        <w:tblW w:w="18660" w:type="auto"/>
        <w:tblCellSpacing w:w="0" w:type="auto"/>
        <w:tblBorders>
          <w:top w:val="none"/>
          <w:left w:val="none"/>
          <w:bottom w:val="none"/>
          <w:right w:val="none"/>
          <w:insideH w:val="none"/>
          <w:insideV w:val="none"/>
        </w:tblBorders>
        <w:tblLayout/>
      </w:tblPr>
      <w:tblGrid>
        <w:gridCol w:w="5383"/>
        <w:gridCol w:w="6093"/>
        <w:gridCol w:w="4524"/>
      </w:tblGrid>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6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электрической машины</w:t>
            </w:r>
          </w:p>
        </w:tc>
        <w:tc>
          <w:tcPr>
            <w:tcW w:w="4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r>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6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4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машины постоянного тока (кроме возбудителя синхронной машины)</w:t>
            </w:r>
          </w:p>
        </w:tc>
        <w:tc>
          <w:tcPr>
            <w:tcW w:w="6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до 100 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до 1 МВт, номинальное напряжение выше 100 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выше 1 МВт, номинальное напряжение выше 100 В</w:t>
            </w:r>
          </w:p>
        </w:tc>
        <w:tc>
          <w:tcPr>
            <w:tcW w:w="452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p>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 не менее 1,2</w:t>
            </w:r>
          </w:p>
          <w:p>
            <w:pPr>
              <w:spacing w:after="0"/>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p>
        </w:tc>
      </w:tr>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Обмотки возбудителя синхронного генератора</w:t>
            </w:r>
          </w:p>
        </w:tc>
        <w:tc>
          <w:tcPr>
            <w:tcW w:w="6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4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но не менее 1,2 и не более 2,8</w:t>
            </w:r>
          </w:p>
        </w:tc>
      </w:tr>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Обмотки возбудителя синхронного двигателя (синхронного компенсатор1)</w:t>
            </w:r>
          </w:p>
        </w:tc>
        <w:tc>
          <w:tcPr>
            <w:tcW w:w="6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4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но не менее 1,2</w:t>
            </w:r>
          </w:p>
        </w:tc>
      </w:tr>
      <w:tr>
        <w:trPr>
          <w:trHeight w:val="30" w:hRule="atLeast"/>
        </w:trPr>
        <w:tc>
          <w:tcPr>
            <w:tcW w:w="5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Бандажи якоря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Реостаты и пускорегулировочные резисторы (испытание может проводиться совместно с цепями возбуждения)</w:t>
            </w:r>
          </w:p>
        </w:tc>
        <w:tc>
          <w:tcPr>
            <w:tcW w:w="609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2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w:t>
            </w:r>
          </w:p>
          <w:p>
            <w:pPr>
              <w:spacing w:after="0"/>
              <w:ind w:left="14"/>
              <w:jc w:val="left"/>
            </w:pPr>
            <w:r>
              <w:rPr>
                <w:rFonts w:hint="default" w:ascii="Times New Roman" w:hAnsi="Times New Roman"/>
                <w:b w:val="false"/>
                <w:i w:val="false"/>
                <w:color w:val="000000"/>
                <w:sz w:val="24"/>
              </w:rPr>
              <w:t>1</w:t>
            </w:r>
          </w:p>
        </w:tc>
      </w:tr>
    </w:tbl>
    <w:bookmarkEnd w:id="5010"/>
    <w:bookmarkStart w:name="637606466" w:id="5011"/>
    <w:p>
      <w:pPr>
        <w:spacing w:before="120" w:after="120" w:line="240"/>
        <w:ind w:left="0"/>
        <w:jc w:val="both"/>
      </w:pPr>
      <w:r>
        <w:rPr>
          <w:rFonts w:hint="default" w:ascii="Times New Roman" w:hAnsi="Times New Roman"/>
          <w:b/>
          <w:i w:val="false"/>
          <w:color w:val="000000"/>
          <w:sz w:val="24"/>
        </w:rPr>
        <w:t>Характеристика искрения коллектора</w:t>
      </w:r>
    </w:p>
    <w:bookmarkEnd w:id="5011"/>
    <w:bookmarkStart w:name="637606467" w:id="501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59</w:t>
      </w:r>
    </w:p>
    <w:bookmarkEnd w:id="5012"/>
    <w:bookmarkStart w:name="637606468" w:id="5013"/>
    <w:tbl>
      <w:tblPr>
        <w:tblW w:w="18660" w:type="auto"/>
        <w:tblCellSpacing w:w="0" w:type="auto"/>
        <w:tblBorders>
          <w:top w:val="none"/>
          <w:left w:val="none"/>
          <w:bottom w:val="none"/>
          <w:right w:val="none"/>
          <w:insideH w:val="none"/>
          <w:insideV w:val="none"/>
        </w:tblBorders>
        <w:tblLayout/>
      </w:tblPr>
      <w:tblGrid>
        <w:gridCol w:w="1571"/>
        <w:gridCol w:w="7225"/>
        <w:gridCol w:w="7204"/>
      </w:tblGrid>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 искрения</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степени искрения</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Состояние коллектора и щеток</w:t>
            </w:r>
          </w:p>
        </w:tc>
      </w:tr>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 искрения</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 почернения на коллекторе и нагара на щетках</w:t>
            </w:r>
          </w:p>
        </w:tc>
      </w:tr>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Слабое точечное искрение под небольшой частью щетки</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r>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Слабое искрение под большей частью щетки</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Появление следов почернения на коллекторе, легко устраняемых при протирании поверхности коллектора бензином, а также появление следов нагара на щетках</w:t>
            </w:r>
          </w:p>
        </w:tc>
      </w:tr>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Искрение под всем краем щетки появляется только при кратковременных толчках нагрузки и перегрузки</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trPr>
          <w:trHeight w:val="30" w:hRule="atLeast"/>
        </w:trPr>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72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72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Значительное почернение на коллекторе, не устраняемое протиранием поверхности коллектора бензином, а также подгар и разрушение щеток</w:t>
            </w:r>
          </w:p>
        </w:tc>
      </w:tr>
    </w:tbl>
    <w:bookmarkEnd w:id="5013"/>
    <w:bookmarkStart w:name="637606469" w:id="5014"/>
    <w:p>
      <w:pPr>
        <w:spacing w:before="120" w:after="120" w:line="240"/>
        <w:ind w:left="0"/>
        <w:jc w:val="both"/>
      </w:pPr>
      <w:r>
        <w:rPr>
          <w:rFonts w:hint="default" w:ascii="Times New Roman" w:hAnsi="Times New Roman"/>
          <w:b/>
          <w:i w:val="false"/>
          <w:color w:val="000000"/>
          <w:sz w:val="24"/>
        </w:rPr>
        <w:t>Допустимое сопротивление изоляции электродвигателей переменного тока</w:t>
      </w:r>
    </w:p>
    <w:bookmarkEnd w:id="5014"/>
    <w:bookmarkStart w:name="637606470" w:id="501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60</w:t>
      </w:r>
    </w:p>
    <w:bookmarkEnd w:id="5015"/>
    <w:bookmarkStart w:name="637606471" w:id="5016"/>
    <w:tbl>
      <w:tblPr>
        <w:tblW w:w="18660" w:type="auto"/>
        <w:tblCellSpacing w:w="0" w:type="auto"/>
        <w:tblBorders>
          <w:top w:val="none"/>
          <w:left w:val="none"/>
          <w:bottom w:val="none"/>
          <w:right w:val="none"/>
          <w:insideH w:val="none"/>
          <w:insideV w:val="none"/>
        </w:tblBorders>
        <w:tblLayout/>
      </w:tblPr>
      <w:tblGrid>
        <w:gridCol w:w="6148"/>
        <w:gridCol w:w="2760"/>
        <w:gridCol w:w="7092"/>
      </w:tblGrid>
      <w:tr>
        <w:trPr>
          <w:trHeight w:val="30" w:hRule="atLeast"/>
        </w:trPr>
        <w:tc>
          <w:tcPr>
            <w:tcW w:w="61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2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мегаомметра, кВ</w:t>
            </w:r>
          </w:p>
        </w:tc>
        <w:tc>
          <w:tcPr>
            <w:tcW w:w="7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w:t>
            </w:r>
          </w:p>
        </w:tc>
      </w:tr>
      <w:tr>
        <w:trPr>
          <w:trHeight w:val="30" w:hRule="atLeast"/>
        </w:trPr>
        <w:tc>
          <w:tcPr>
            <w:tcW w:w="61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 напряжением до 1 кВ</w:t>
            </w:r>
          </w:p>
        </w:tc>
        <w:tc>
          <w:tcPr>
            <w:tcW w:w="2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7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0,5 МОм при температуре 10–30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61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ротора синхронного электродвигателя и электродвигателя с фазным ротором</w:t>
            </w:r>
          </w:p>
        </w:tc>
        <w:tc>
          <w:tcPr>
            <w:tcW w:w="2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7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0,2 МОм при температуре 10–30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(допускается не ниже 2 кОм при +75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или 20 кОм при +20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для неявнополюсных роторов)</w:t>
            </w:r>
          </w:p>
        </w:tc>
      </w:tr>
      <w:tr>
        <w:trPr>
          <w:trHeight w:val="30" w:hRule="atLeast"/>
        </w:trPr>
        <w:tc>
          <w:tcPr>
            <w:tcW w:w="61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Термоиндикатор</w:t>
            </w:r>
          </w:p>
        </w:tc>
        <w:tc>
          <w:tcPr>
            <w:tcW w:w="2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0,25</w:t>
            </w:r>
          </w:p>
        </w:tc>
        <w:tc>
          <w:tcPr>
            <w:tcW w:w="7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r>
      <w:tr>
        <w:trPr>
          <w:trHeight w:val="30" w:hRule="atLeast"/>
        </w:trPr>
        <w:tc>
          <w:tcPr>
            <w:tcW w:w="61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Подшипники синхронных электродвигателей напряжением выше 1 кВ</w:t>
            </w:r>
          </w:p>
        </w:tc>
        <w:tc>
          <w:tcPr>
            <w:tcW w:w="2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7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 (измерение производится относительно фундаментной плиты при полностью собранных маслопроводах)</w:t>
            </w:r>
          </w:p>
        </w:tc>
      </w:tr>
    </w:tbl>
    <w:bookmarkEnd w:id="5016"/>
    <w:bookmarkStart w:name="637606472" w:id="5017"/>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w:t>
      </w:r>
      <w:r>
        <w:br/>
      </w:r>
      <w:r>
        <w:rPr>
          <w:rFonts w:hint="default" w:ascii="Times New Roman" w:hAnsi="Times New Roman"/>
          <w:b/>
          <w:i w:val="false"/>
          <w:color w:val="000000"/>
          <w:sz w:val="24"/>
        </w:rPr>
        <w:t>
для электродвигателей переменного тока</w:t>
      </w:r>
    </w:p>
    <w:bookmarkEnd w:id="5017"/>
    <w:bookmarkStart w:name="637606473" w:id="501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61</w:t>
      </w:r>
    </w:p>
    <w:bookmarkEnd w:id="5018"/>
    <w:bookmarkStart w:name="637606474" w:id="5019"/>
    <w:tbl>
      <w:tblPr>
        <w:tblW w:w="18660" w:type="auto"/>
        <w:tblCellSpacing w:w="0" w:type="auto"/>
        <w:tblBorders>
          <w:top w:val="none"/>
          <w:left w:val="none"/>
          <w:bottom w:val="none"/>
          <w:right w:val="none"/>
          <w:insideH w:val="none"/>
          <w:insideV w:val="none"/>
        </w:tblBorders>
        <w:tblLayout/>
      </w:tblPr>
      <w:tblGrid>
        <w:gridCol w:w="4942"/>
        <w:gridCol w:w="6173"/>
        <w:gridCol w:w="4885"/>
      </w:tblGrid>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6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Электродвигателя</w:t>
            </w:r>
          </w:p>
        </w:tc>
        <w:tc>
          <w:tcPr>
            <w:tcW w:w="48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r>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статора</w:t>
            </w:r>
          </w:p>
        </w:tc>
        <w:tc>
          <w:tcPr>
            <w:tcW w:w="6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до 1 МВт, номинальное напряжение выше 1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выше 1 МВт, номинальное напряжение до 3,3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Мощность выше 1 МВт, номинальное напряжение выше 3,3 до 6,6 кВ</w:t>
            </w:r>
          </w:p>
        </w:tc>
        <w:tc>
          <w:tcPr>
            <w:tcW w:w="488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p>
          <w:p>
            <w:pPr>
              <w:spacing w:after="14"/>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+ 0,8</w:t>
            </w:r>
          </w:p>
          <w:p>
            <w:pPr>
              <w:spacing w:after="14"/>
              <w:ind w:left="14"/>
              <w:jc w:val="left"/>
            </w:pPr>
            <w:r>
              <w:rPr>
                <w:rFonts w:hint="default" w:ascii="Times New Roman" w:hAnsi="Times New Roman"/>
                <w:b w:val="false"/>
                <w:i w:val="false"/>
                <w:color w:val="000000"/>
                <w:sz w:val="24"/>
              </w:rPr>
              <w:t>2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p>
          <w:p>
            <w:pPr>
              <w:spacing w:after="0"/>
              <w:ind w:left="14"/>
              <w:jc w:val="left"/>
            </w:pPr>
            <w:r>
              <w:rPr>
                <w:rFonts w:hint="default" w:ascii="Times New Roman" w:hAnsi="Times New Roman"/>
                <w:b w:val="false"/>
                <w:i w:val="false"/>
                <w:color w:val="000000"/>
                <w:sz w:val="24"/>
              </w:rPr>
              <w:t>1,6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+ 2,4</w:t>
            </w:r>
          </w:p>
        </w:tc>
      </w:tr>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ротора синхронного электродвигателя</w:t>
            </w:r>
          </w:p>
        </w:tc>
        <w:tc>
          <w:tcPr>
            <w:tcW w:w="6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выше 1 МВт, номинальное напряжение выше 6,6 кВ</w:t>
            </w:r>
          </w:p>
        </w:tc>
        <w:tc>
          <w:tcPr>
            <w:tcW w:w="48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ном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системы возбуждения, но не менее 1,2</w:t>
            </w:r>
          </w:p>
        </w:tc>
      </w:tr>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Обмотка ротора электродвигателя с фазным ротором</w:t>
            </w:r>
          </w:p>
        </w:tc>
        <w:tc>
          <w:tcPr>
            <w:tcW w:w="6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48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Реостат и пускорегулировочный резистор</w:t>
            </w:r>
          </w:p>
        </w:tc>
        <w:tc>
          <w:tcPr>
            <w:tcW w:w="6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48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49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Резистор гашения поля синхронного электродвигателя</w:t>
            </w:r>
          </w:p>
        </w:tc>
        <w:tc>
          <w:tcPr>
            <w:tcW w:w="617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8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bl>
    <w:bookmarkEnd w:id="5019"/>
    <w:bookmarkStart w:name="637606475" w:id="5020"/>
    <w:p>
      <w:pPr>
        <w:spacing w:before="120" w:after="120" w:line="240"/>
        <w:ind w:left="0"/>
        <w:jc w:val="both"/>
      </w:pPr>
      <w:r>
        <w:rPr>
          <w:rFonts w:hint="default" w:ascii="Times New Roman" w:hAnsi="Times New Roman"/>
          <w:b/>
          <w:i w:val="false"/>
          <w:color w:val="000000"/>
          <w:sz w:val="24"/>
        </w:rPr>
        <w:t>Наибольший допустимый зазор в подшипниках скольжения электродвигателей</w:t>
      </w:r>
    </w:p>
    <w:bookmarkEnd w:id="5020"/>
    <w:bookmarkStart w:name="637606476" w:id="502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62</w:t>
      </w:r>
    </w:p>
    <w:bookmarkEnd w:id="5021"/>
    <w:bookmarkStart w:name="637606477" w:id="5022"/>
    <w:tbl>
      <w:tblPr>
        <w:tblW w:w="18660" w:type="auto"/>
        <w:tblCellSpacing w:w="0" w:type="auto"/>
        <w:tblBorders>
          <w:top w:val="none"/>
          <w:left w:val="none"/>
          <w:bottom w:val="none"/>
          <w:right w:val="none"/>
          <w:insideH w:val="none"/>
          <w:insideV w:val="none"/>
        </w:tblBorders>
        <w:tblLayout/>
      </w:tblPr>
      <w:tblGrid>
        <w:gridCol w:w="3506"/>
        <w:gridCol w:w="4018"/>
        <w:gridCol w:w="4018"/>
        <w:gridCol w:w="4458"/>
      </w:tblGrid>
      <w:tr>
        <w:trPr>
          <w:trHeight w:val="30" w:hRule="atLeast"/>
        </w:trPr>
        <w:tc>
          <w:tcPr>
            <w:tcW w:w="350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Номинальный диаметр вала, мм</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Зазор, мм, при частоте вращения, Гц</w:t>
            </w:r>
          </w:p>
        </w:tc>
      </w:tr>
      <w:tr>
        <w:trPr>
          <w:trHeight w:val="30" w:hRule="atLeast"/>
        </w:trPr>
        <w:tc>
          <w:tcPr>
            <w:tcW w:w="0" w:type="auto"/>
            <w:vMerge/>
            <w:tcBorders>
              <w:top w:val="nil"/>
              <w:left w:val="single" w:color="cfcfcf" w:sz="8"/>
              <w:bottom w:val="single" w:color="cfcfcf" w:sz="8"/>
              <w:right w:val="single" w:color="cfcfcf" w:sz="8"/>
            </w:tcBorders>
          </w:tcPr>
          <w:p/>
        </w:tc>
        <w:tc>
          <w:tcPr>
            <w:tcW w:w="40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16,7</w:t>
            </w:r>
          </w:p>
        </w:tc>
        <w:tc>
          <w:tcPr>
            <w:tcW w:w="40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16,7–25</w:t>
            </w:r>
          </w:p>
        </w:tc>
        <w:tc>
          <w:tcPr>
            <w:tcW w:w="44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25</w:t>
            </w:r>
          </w:p>
        </w:tc>
      </w:tr>
      <w:tr>
        <w:trPr>
          <w:trHeight w:val="30" w:hRule="atLeast"/>
        </w:trPr>
        <w:tc>
          <w:tcPr>
            <w:tcW w:w="35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81–120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121–180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181–260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261–360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361–600</w:t>
            </w:r>
          </w:p>
        </w:tc>
        <w:tc>
          <w:tcPr>
            <w:tcW w:w="40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0,040–0,093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0,050–0,112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0,065–0,135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0,080–0,160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0,100–0,195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0,120–0,225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0,140–0,250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0,170–0,305</w:t>
            </w:r>
          </w:p>
        </w:tc>
        <w:tc>
          <w:tcPr>
            <w:tcW w:w="40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0,060–0,130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0,075–0,160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0,095–0,195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0,120–0,235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0,150–0,285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0,180–0,300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0,210–0,380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0,250–0,440</w:t>
            </w:r>
          </w:p>
        </w:tc>
        <w:tc>
          <w:tcPr>
            <w:tcW w:w="44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0,140–0,280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0,170–0,340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0,200–0,400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0,230–0,460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0,260–0,580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0,300–0,600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0,340–0,680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0,380–0,760</w:t>
            </w:r>
          </w:p>
        </w:tc>
      </w:tr>
    </w:tbl>
    <w:bookmarkEnd w:id="5022"/>
    <w:bookmarkStart w:name="637606478" w:id="5023"/>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bookmarkEnd w:id="5023"/>
    <w:bookmarkStart w:name="637606479" w:id="502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63</w:t>
      </w:r>
    </w:p>
    <w:bookmarkEnd w:id="5024"/>
    <w:bookmarkStart w:name="637606480" w:id="5025"/>
    <w:tbl>
      <w:tblPr>
        <w:tblW w:w="18660" w:type="auto"/>
        <w:tblCellSpacing w:w="0" w:type="auto"/>
        <w:tblBorders>
          <w:top w:val="none"/>
          <w:left w:val="none"/>
          <w:bottom w:val="none"/>
          <w:right w:val="none"/>
          <w:insideH w:val="none"/>
          <w:insideV w:val="none"/>
        </w:tblBorders>
        <w:tblLayout/>
      </w:tblPr>
      <w:tblGrid>
        <w:gridCol w:w="2569"/>
        <w:gridCol w:w="2603"/>
        <w:gridCol w:w="2636"/>
        <w:gridCol w:w="2573"/>
        <w:gridCol w:w="2633"/>
        <w:gridCol w:w="2986"/>
      </w:tblGrid>
      <w:tr>
        <w:trPr>
          <w:trHeight w:val="30" w:hRule="atLeast"/>
        </w:trPr>
        <w:tc>
          <w:tcPr>
            <w:tcW w:w="25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обмотки,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по отношению к корпусу и другим обмоткам, кВ, для изоляции</w:t>
            </w:r>
          </w:p>
        </w:tc>
        <w:tc>
          <w:tcPr>
            <w:tcW w:w="257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обмотки,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по отношению к корпусу и другим обмоткам, кВ, для изоляции</w:t>
            </w:r>
          </w:p>
        </w:tc>
      </w:tr>
      <w:tr>
        <w:trPr>
          <w:trHeight w:val="30" w:hRule="atLeast"/>
        </w:trPr>
        <w:tc>
          <w:tcPr>
            <w:tcW w:w="0" w:type="auto"/>
            <w:vMerge/>
            <w:tcBorders>
              <w:top w:val="nil"/>
              <w:left w:val="single" w:color="cfcfcf" w:sz="8"/>
              <w:bottom w:val="single" w:color="cfcfcf" w:sz="8"/>
              <w:right w:val="single" w:color="cfcfcf" w:sz="8"/>
            </w:tcBorders>
          </w:tcPr>
          <w:p/>
        </w:tc>
        <w:tc>
          <w:tcPr>
            <w:tcW w:w="2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Нормальной</w:t>
            </w:r>
          </w:p>
        </w:tc>
        <w:tc>
          <w:tcPr>
            <w:tcW w:w="26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Облегченной</w:t>
            </w:r>
          </w:p>
        </w:tc>
        <w:tc>
          <w:tcPr>
            <w:tcW w:w="0" w:type="auto"/>
            <w:vMerge/>
            <w:tcBorders>
              <w:top w:val="nil"/>
              <w:left w:val="single" w:color="cfcfcf" w:sz="8"/>
              <w:bottom w:val="single" w:color="cfcfcf" w:sz="8"/>
              <w:right w:val="single" w:color="cfcfcf" w:sz="8"/>
            </w:tcBorders>
          </w:tcPr>
          <w:p/>
        </w:tc>
        <w:tc>
          <w:tcPr>
            <w:tcW w:w="2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Нормальной</w:t>
            </w:r>
          </w:p>
        </w:tc>
        <w:tc>
          <w:tcPr>
            <w:tcW w:w="29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Облегченной</w:t>
            </w:r>
          </w:p>
        </w:tc>
      </w:tr>
      <w:tr>
        <w:trPr>
          <w:trHeight w:val="30" w:hRule="atLeast"/>
        </w:trPr>
        <w:tc>
          <w:tcPr>
            <w:tcW w:w="25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0,69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p>
        </w:tc>
        <w:tc>
          <w:tcPr>
            <w:tcW w:w="2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49,5</w:t>
            </w:r>
          </w:p>
        </w:tc>
        <w:tc>
          <w:tcPr>
            <w:tcW w:w="26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p>
        </w:tc>
        <w:tc>
          <w:tcPr>
            <w:tcW w:w="25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p>
        </w:tc>
        <w:tc>
          <w:tcPr>
            <w:tcW w:w="26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292,5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414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612</w:t>
            </w:r>
          </w:p>
        </w:tc>
        <w:tc>
          <w:tcPr>
            <w:tcW w:w="29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025"/>
    <w:bookmarkStart w:name="637606481" w:id="5026"/>
    <w:p>
      <w:pPr>
        <w:spacing w:before="120" w:after="120" w:line="240"/>
        <w:ind w:left="0"/>
        <w:jc w:val="both"/>
      </w:pPr>
      <w:r>
        <w:rPr>
          <w:rFonts w:hint="default" w:ascii="Times New Roman" w:hAnsi="Times New Roman"/>
          <w:b/>
          <w:i w:val="false"/>
          <w:color w:val="000000"/>
          <w:sz w:val="24"/>
        </w:rPr>
        <w:t>Наименьшее допустимое значение сопротивления изоляции трансформаторов тока</w:t>
      </w:r>
    </w:p>
    <w:bookmarkEnd w:id="5026"/>
    <w:bookmarkStart w:name="637606482" w:id="502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64</w:t>
      </w:r>
    </w:p>
    <w:bookmarkEnd w:id="5027"/>
    <w:bookmarkStart w:name="637606483" w:id="5028"/>
    <w:tbl>
      <w:tblPr>
        <w:tblW w:w="18660" w:type="auto"/>
        <w:tblCellSpacing w:w="0" w:type="auto"/>
        <w:tblBorders>
          <w:top w:val="none"/>
          <w:left w:val="none"/>
          <w:bottom w:val="none"/>
          <w:right w:val="none"/>
          <w:insideH w:val="none"/>
          <w:insideV w:val="none"/>
        </w:tblBorders>
        <w:tblLayout/>
      </w:tblPr>
      <w:tblGrid>
        <w:gridCol w:w="3021"/>
        <w:gridCol w:w="2655"/>
        <w:gridCol w:w="2803"/>
        <w:gridCol w:w="2705"/>
        <w:gridCol w:w="2493"/>
        <w:gridCol w:w="2323"/>
      </w:tblGrid>
      <w:tr>
        <w:trPr>
          <w:trHeight w:val="30" w:hRule="atLeast"/>
        </w:trPr>
        <w:tc>
          <w:tcPr>
            <w:tcW w:w="302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кВ</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Допустимые сопротивления изоляции, МОм, не менее</w:t>
            </w:r>
          </w:p>
        </w:tc>
      </w:tr>
      <w:tr>
        <w:trPr>
          <w:trHeight w:val="30" w:hRule="atLeast"/>
        </w:trPr>
        <w:tc>
          <w:tcPr>
            <w:tcW w:w="0" w:type="auto"/>
            <w:vMerge/>
            <w:tcBorders>
              <w:top w:val="nil"/>
              <w:left w:val="single" w:color="cfcfcf" w:sz="8"/>
              <w:bottom w:val="single" w:color="cfcfcf" w:sz="8"/>
              <w:right w:val="single" w:color="cfcfcf" w:sz="8"/>
            </w:tcBorders>
          </w:tcPr>
          <w:p/>
        </w:tc>
        <w:tc>
          <w:tcPr>
            <w:tcW w:w="2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Основная изоляция</w:t>
            </w:r>
          </w:p>
        </w:tc>
        <w:tc>
          <w:tcPr>
            <w:tcW w:w="28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Измерительный вывод</w:t>
            </w:r>
          </w:p>
        </w:tc>
        <w:tc>
          <w:tcPr>
            <w:tcW w:w="27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Наружные слои</w:t>
            </w:r>
          </w:p>
        </w:tc>
        <w:tc>
          <w:tcPr>
            <w:tcW w:w="24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Вторичные обмотки *</w:t>
            </w:r>
          </w:p>
        </w:tc>
        <w:tc>
          <w:tcPr>
            <w:tcW w:w="23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Промежуточные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обмотки</w:t>
            </w:r>
          </w:p>
        </w:tc>
      </w:tr>
      <w:tr>
        <w:trPr>
          <w:trHeight w:val="30" w:hRule="atLeast"/>
        </w:trPr>
        <w:tc>
          <w:tcPr>
            <w:tcW w:w="30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3–35</w:t>
            </w:r>
          </w:p>
        </w:tc>
        <w:tc>
          <w:tcPr>
            <w:tcW w:w="2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8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7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4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 (1)</w:t>
            </w:r>
          </w:p>
        </w:tc>
        <w:tc>
          <w:tcPr>
            <w:tcW w:w="23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30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110–220</w:t>
            </w:r>
          </w:p>
        </w:tc>
        <w:tc>
          <w:tcPr>
            <w:tcW w:w="2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28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7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24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 (1)</w:t>
            </w:r>
          </w:p>
        </w:tc>
        <w:tc>
          <w:tcPr>
            <w:tcW w:w="23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30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330–500</w:t>
            </w:r>
          </w:p>
        </w:tc>
        <w:tc>
          <w:tcPr>
            <w:tcW w:w="2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5000</w:t>
            </w:r>
          </w:p>
        </w:tc>
        <w:tc>
          <w:tcPr>
            <w:tcW w:w="28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27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4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 (1)</w:t>
            </w:r>
          </w:p>
        </w:tc>
        <w:tc>
          <w:tcPr>
            <w:tcW w:w="23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028"/>
    <w:bookmarkStart w:name="637606484" w:id="50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*Сопротивления изоляции вторичных обмоток приведены без скобок – при отключенных вторичных цепях, в скобках – с подключенными вторичными цепями.</w:t>
      </w:r>
    </w:p>
    <w:bookmarkEnd w:id="5029"/>
    <w:bookmarkStart w:name="637606485" w:id="5030"/>
    <w:p>
      <w:pPr>
        <w:spacing w:before="120" w:after="120" w:line="240"/>
        <w:ind w:left="0"/>
        <w:jc w:val="both"/>
      </w:pPr>
      <w:r>
        <w:rPr>
          <w:rFonts w:hint="default" w:ascii="Times New Roman" w:hAnsi="Times New Roman"/>
          <w:b/>
          <w:i w:val="false"/>
          <w:color w:val="000000"/>
          <w:sz w:val="24"/>
        </w:rPr>
        <w:t>Наибольший допустимый тангенс угла диэлектрических потерь изоляции трансформаторов тока</w:t>
      </w:r>
    </w:p>
    <w:bookmarkEnd w:id="5030"/>
    <w:bookmarkStart w:name="637606486" w:id="503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65</w:t>
      </w:r>
    </w:p>
    <w:bookmarkEnd w:id="5031"/>
    <w:bookmarkStart w:name="637606487" w:id="5032"/>
    <w:tbl>
      <w:tblPr>
        <w:tblW w:w="18660" w:type="auto"/>
        <w:tblCellSpacing w:w="0" w:type="auto"/>
        <w:tblBorders>
          <w:top w:val="none"/>
          <w:left w:val="none"/>
          <w:bottom w:val="none"/>
          <w:right w:val="none"/>
          <w:insideH w:val="none"/>
          <w:insideV w:val="none"/>
        </w:tblBorders>
        <w:tblLayout/>
      </w:tblPr>
      <w:tblGrid>
        <w:gridCol w:w="9422"/>
        <w:gridCol w:w="1402"/>
        <w:gridCol w:w="1909"/>
        <w:gridCol w:w="1402"/>
        <w:gridCol w:w="1865"/>
      </w:tblGrid>
      <w:tr>
        <w:trPr>
          <w:trHeight w:val="30" w:hRule="atLeast"/>
        </w:trPr>
        <w:tc>
          <w:tcPr>
            <w:tcW w:w="942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испытуемого объекта</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Тангенс угла диэлектрических потерь, %, при номинальном напряжении,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4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9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150–220</w:t>
            </w:r>
          </w:p>
        </w:tc>
        <w:tc>
          <w:tcPr>
            <w:tcW w:w="14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1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94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Маслонаполненные трансформаторы тока (основная изоляция)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Трансформаторы тока: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Основная изоляция относительно предпоследней обкладки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Измерительный конденсатор (изоляция между предпоследней и последней обкладками)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Наружный слой первичной обмотки (изоляция последней обкладки относительно корпуса)</w:t>
            </w:r>
          </w:p>
        </w:tc>
        <w:tc>
          <w:tcPr>
            <w:tcW w:w="140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90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1,5</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140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0,6</w:t>
            </w:r>
          </w:p>
          <w:p>
            <w:pPr>
              <w:spacing w:after="14"/>
              <w:ind w:left="14"/>
              <w:jc w:val="left"/>
            </w:pPr>
            <w:r>
              <w:rPr>
                <w:rFonts w:hint="default" w:ascii="Times New Roman" w:hAnsi="Times New Roman"/>
                <w:b w:val="false"/>
                <w:i w:val="false"/>
                <w:color w:val="000000"/>
                <w:sz w:val="24"/>
              </w:rPr>
              <w:t>0,8</w:t>
            </w:r>
          </w:p>
          <w:p>
            <w:pPr>
              <w:spacing w:after="0"/>
              <w:ind w:left="14"/>
              <w:jc w:val="left"/>
            </w:pPr>
            <w:r>
              <w:rPr>
                <w:rFonts w:hint="default" w:ascii="Times New Roman" w:hAnsi="Times New Roman"/>
                <w:b w:val="false"/>
                <w:i w:val="false"/>
                <w:color w:val="000000"/>
                <w:sz w:val="24"/>
              </w:rPr>
              <w:t>1,2</w:t>
            </w:r>
          </w:p>
        </w:tc>
        <w:tc>
          <w:tcPr>
            <w:tcW w:w="186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p>
          <w:p>
            <w:pPr>
              <w:spacing w:after="14"/>
              <w:ind w:left="14"/>
              <w:jc w:val="left"/>
            </w:pPr>
            <w:r>
              <w:rPr>
                <w:rFonts w:hint="default" w:ascii="Times New Roman" w:hAnsi="Times New Roman"/>
                <w:b w:val="false"/>
                <w:i w:val="false"/>
                <w:color w:val="000000"/>
                <w:sz w:val="24"/>
              </w:rPr>
              <w:t>—</w:t>
            </w:r>
          </w:p>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r>
    </w:tbl>
    <w:bookmarkEnd w:id="5032"/>
    <w:bookmarkStart w:name="637606488" w:id="5033"/>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для измерительных трансформаторов</w:t>
      </w:r>
    </w:p>
    <w:bookmarkEnd w:id="5033"/>
    <w:bookmarkStart w:name="637606489" w:id="503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66</w:t>
      </w:r>
    </w:p>
    <w:bookmarkEnd w:id="5034"/>
    <w:bookmarkStart w:name="637606490" w:id="5035"/>
    <w:tbl>
      <w:tblPr>
        <w:tblW w:w="18660" w:type="auto"/>
        <w:tblCellSpacing w:w="0" w:type="auto"/>
        <w:tblBorders>
          <w:top w:val="none"/>
          <w:left w:val="none"/>
          <w:bottom w:val="none"/>
          <w:right w:val="none"/>
          <w:insideH w:val="none"/>
          <w:insideV w:val="none"/>
        </w:tblBorders>
        <w:tblLayout/>
      </w:tblPr>
      <w:tblGrid>
        <w:gridCol w:w="8063"/>
        <w:gridCol w:w="1274"/>
        <w:gridCol w:w="1274"/>
        <w:gridCol w:w="1486"/>
        <w:gridCol w:w="1176"/>
        <w:gridCol w:w="1274"/>
        <w:gridCol w:w="1453"/>
      </w:tblGrid>
      <w:tr>
        <w:trPr>
          <w:trHeight w:val="30" w:hRule="atLeast"/>
        </w:trPr>
        <w:tc>
          <w:tcPr>
            <w:tcW w:w="806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Исполнение изоляции измерительного трансформатора</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При номинальном напряжении,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4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1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8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Нормальная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Ослабленная</w:t>
            </w: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w:t>
            </w: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w:t>
            </w:r>
          </w:p>
        </w:tc>
        <w:tc>
          <w:tcPr>
            <w:tcW w:w="14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w:t>
            </w:r>
          </w:p>
        </w:tc>
        <w:tc>
          <w:tcPr>
            <w:tcW w:w="11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w:t>
            </w:r>
          </w:p>
        </w:tc>
        <w:tc>
          <w:tcPr>
            <w:tcW w:w="12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1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035"/>
    <w:bookmarkStart w:name="637606491" w:id="5036"/>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для внешней изоляции аппаратов</w:t>
      </w:r>
    </w:p>
    <w:bookmarkEnd w:id="5036"/>
    <w:bookmarkStart w:name="637606492" w:id="503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67</w:t>
      </w:r>
    </w:p>
    <w:bookmarkEnd w:id="5037"/>
    <w:bookmarkStart w:name="637606493" w:id="5038"/>
    <w:tbl>
      <w:tblPr>
        <w:tblW w:w="18660" w:type="auto"/>
        <w:tblCellSpacing w:w="0" w:type="auto"/>
        <w:tblBorders>
          <w:top w:val="none"/>
          <w:left w:val="none"/>
          <w:bottom w:val="none"/>
          <w:right w:val="none"/>
          <w:insideH w:val="none"/>
          <w:insideV w:val="none"/>
        </w:tblBorders>
        <w:tblLayout/>
      </w:tblPr>
      <w:tblGrid>
        <w:gridCol w:w="3292"/>
        <w:gridCol w:w="2994"/>
        <w:gridCol w:w="3035"/>
        <w:gridCol w:w="2995"/>
        <w:gridCol w:w="3684"/>
      </w:tblGrid>
      <w:tr>
        <w:trPr>
          <w:trHeight w:val="30" w:hRule="atLeast"/>
        </w:trPr>
        <w:tc>
          <w:tcPr>
            <w:tcW w:w="329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кВ</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для аппаратов с изоляцией</w:t>
            </w:r>
          </w:p>
        </w:tc>
      </w:tr>
      <w:tr>
        <w:trPr>
          <w:trHeight w:val="30" w:hRule="atLeast"/>
        </w:trPr>
        <w:tc>
          <w:tcPr>
            <w:tcW w:w="0" w:type="auto"/>
            <w:vMerge/>
            <w:tcBorders>
              <w:top w:val="nil"/>
              <w:left w:val="single" w:color="cfcfcf" w:sz="8"/>
              <w:bottom w:val="single" w:color="cfcfcf" w:sz="8"/>
              <w:right w:val="single" w:color="cfcfcf" w:sz="8"/>
            </w:tcBorders>
          </w:tcP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нормальной керамической</w:t>
            </w:r>
          </w:p>
        </w:tc>
        <w:tc>
          <w:tcPr>
            <w:tcW w:w="3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нормальной из органических материалов</w:t>
            </w:r>
          </w:p>
        </w:tc>
        <w:tc>
          <w:tcPr>
            <w:tcW w:w="29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облегченной керамической</w:t>
            </w:r>
          </w:p>
        </w:tc>
        <w:tc>
          <w:tcPr>
            <w:tcW w:w="3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облегченной из органических материалов</w:t>
            </w:r>
          </w:p>
        </w:tc>
      </w:tr>
      <w:tr>
        <w:trPr>
          <w:trHeight w:val="30" w:hRule="atLeast"/>
        </w:trPr>
        <w:tc>
          <w:tcPr>
            <w:tcW w:w="3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2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c>
          <w:tcPr>
            <w:tcW w:w="3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37,8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85,5</w:t>
            </w:r>
          </w:p>
        </w:tc>
        <w:tc>
          <w:tcPr>
            <w:tcW w:w="29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3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038"/>
    <w:bookmarkStart w:name="637606494" w:id="5039"/>
    <w:p>
      <w:pPr>
        <w:spacing w:before="120" w:after="120" w:line="240"/>
        <w:ind w:left="0"/>
        <w:jc w:val="both"/>
      </w:pPr>
      <w:r>
        <w:rPr>
          <w:rFonts w:hint="default" w:ascii="Times New Roman" w:hAnsi="Times New Roman"/>
          <w:b/>
          <w:i w:val="false"/>
          <w:color w:val="000000"/>
          <w:sz w:val="24"/>
        </w:rPr>
        <w:t>Наименьшее допустимое сопротивление опорной изоляции и</w:t>
      </w:r>
      <w:r>
        <w:br/>
      </w:r>
      <w:r>
        <w:rPr>
          <w:rFonts w:hint="default" w:ascii="Times New Roman" w:hAnsi="Times New Roman"/>
          <w:b/>
          <w:i w:val="false"/>
          <w:color w:val="000000"/>
          <w:sz w:val="24"/>
        </w:rPr>
        <w:t>
изоляции подвижных частей воздушных выключателей</w:t>
      </w:r>
    </w:p>
    <w:bookmarkEnd w:id="5039"/>
    <w:bookmarkStart w:name="637606495" w:id="504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68</w:t>
      </w:r>
    </w:p>
    <w:bookmarkEnd w:id="5040"/>
    <w:bookmarkStart w:name="637606496" w:id="5041"/>
    <w:tbl>
      <w:tblPr>
        <w:tblW w:w="18660" w:type="auto"/>
        <w:tblCellSpacing w:w="0" w:type="auto"/>
        <w:tblBorders>
          <w:top w:val="none"/>
          <w:left w:val="none"/>
          <w:bottom w:val="none"/>
          <w:right w:val="none"/>
          <w:insideH w:val="none"/>
          <w:insideV w:val="none"/>
        </w:tblBorders>
        <w:tblLayout/>
      </w:tblPr>
      <w:tblGrid>
        <w:gridCol w:w="9684"/>
        <w:gridCol w:w="1932"/>
        <w:gridCol w:w="1986"/>
        <w:gridCol w:w="2398"/>
      </w:tblGrid>
      <w:tr>
        <w:trPr>
          <w:trHeight w:val="30" w:hRule="atLeast"/>
        </w:trPr>
        <w:tc>
          <w:tcPr>
            <w:tcW w:w="968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МОм, при номинальном напряжении выключателя,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9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15</w:t>
            </w:r>
          </w:p>
        </w:tc>
        <w:tc>
          <w:tcPr>
            <w:tcW w:w="19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20—35</w:t>
            </w:r>
          </w:p>
        </w:tc>
        <w:tc>
          <w:tcPr>
            <w:tcW w:w="23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 и выше</w:t>
            </w:r>
          </w:p>
        </w:tc>
      </w:tr>
      <w:tr>
        <w:trPr>
          <w:trHeight w:val="30" w:hRule="atLeast"/>
        </w:trPr>
        <w:tc>
          <w:tcPr>
            <w:tcW w:w="968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Опорный изолятор, воздухопровод и тяга (каждое в отдельности), изготовленные из фарфора</w:t>
            </w:r>
          </w:p>
          <w:p>
            <w:pPr>
              <w:spacing w:after="0"/>
              <w:ind w:left="14"/>
              <w:jc w:val="left"/>
            </w:pPr>
            <w:r>
              <w:rPr>
                <w:rFonts w:hint="default" w:ascii="Times New Roman" w:hAnsi="Times New Roman"/>
                <w:b w:val="false"/>
                <w:i w:val="false"/>
                <w:color w:val="000000"/>
                <w:sz w:val="24"/>
              </w:rPr>
              <w:t>Тяга, изготовленная из органических материалов</w:t>
            </w:r>
          </w:p>
        </w:tc>
        <w:tc>
          <w:tcPr>
            <w:tcW w:w="193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1000</w:t>
            </w:r>
          </w:p>
          <w:p>
            <w:pPr>
              <w:spacing w:after="0"/>
              <w:ind w:left="14"/>
              <w:jc w:val="left"/>
            </w:pPr>
            <w:r>
              <w:rPr>
                <w:rFonts w:hint="default" w:ascii="Times New Roman" w:hAnsi="Times New Roman"/>
                <w:b w:val="false"/>
                <w:i w:val="false"/>
                <w:color w:val="000000"/>
                <w:sz w:val="24"/>
              </w:rPr>
              <w:t>—</w:t>
            </w:r>
          </w:p>
        </w:tc>
        <w:tc>
          <w:tcPr>
            <w:tcW w:w="198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5000</w:t>
            </w:r>
          </w:p>
          <w:p>
            <w:pPr>
              <w:spacing w:after="0"/>
              <w:ind w:left="14"/>
              <w:jc w:val="left"/>
            </w:pPr>
            <w:r>
              <w:rPr>
                <w:rFonts w:hint="default" w:ascii="Times New Roman" w:hAnsi="Times New Roman"/>
                <w:b w:val="false"/>
                <w:i w:val="false"/>
                <w:color w:val="000000"/>
                <w:sz w:val="24"/>
              </w:rPr>
              <w:t>3000</w:t>
            </w:r>
          </w:p>
        </w:tc>
        <w:tc>
          <w:tcPr>
            <w:tcW w:w="2398"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5000</w:t>
            </w:r>
          </w:p>
          <w:p>
            <w:pPr>
              <w:spacing w:after="0"/>
              <w:ind w:left="14"/>
              <w:jc w:val="left"/>
            </w:pPr>
            <w:r>
              <w:rPr>
                <w:rFonts w:hint="default" w:ascii="Times New Roman" w:hAnsi="Times New Roman"/>
                <w:b w:val="false"/>
                <w:i w:val="false"/>
                <w:color w:val="000000"/>
                <w:sz w:val="24"/>
              </w:rPr>
              <w:t>—</w:t>
            </w:r>
          </w:p>
        </w:tc>
      </w:tr>
    </w:tbl>
    <w:bookmarkEnd w:id="5041"/>
    <w:bookmarkStart w:name="637606497" w:id="5042"/>
    <w:p>
      <w:pPr>
        <w:spacing w:before="120" w:after="120" w:line="240"/>
        <w:ind w:left="0"/>
        <w:jc w:val="both"/>
      </w:pPr>
      <w:r>
        <w:rPr>
          <w:rFonts w:hint="default" w:ascii="Times New Roman" w:hAnsi="Times New Roman"/>
          <w:b/>
          <w:i w:val="false"/>
          <w:color w:val="000000"/>
          <w:sz w:val="24"/>
        </w:rPr>
        <w:t>Предельные значения сопротивлений постоянному току</w:t>
      </w:r>
      <w:r>
        <w:br/>
      </w:r>
      <w:r>
        <w:rPr>
          <w:rFonts w:hint="default" w:ascii="Times New Roman" w:hAnsi="Times New Roman"/>
          <w:b/>
          <w:i w:val="false"/>
          <w:color w:val="000000"/>
          <w:sz w:val="24"/>
        </w:rPr>
        <w:t>
контактных систем воздушных выключателей</w:t>
      </w:r>
    </w:p>
    <w:bookmarkEnd w:id="5042"/>
    <w:bookmarkStart w:name="637606498" w:id="504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69</w:t>
      </w:r>
    </w:p>
    <w:bookmarkEnd w:id="5043"/>
    <w:bookmarkStart w:name="637606499" w:id="5044"/>
    <w:tbl>
      <w:tblPr>
        <w:tblW w:w="18660" w:type="auto"/>
        <w:tblCellSpacing w:w="0" w:type="auto"/>
        <w:tblBorders>
          <w:top w:val="none"/>
          <w:left w:val="none"/>
          <w:bottom w:val="none"/>
          <w:right w:val="none"/>
          <w:insideH w:val="none"/>
          <w:insideV w:val="none"/>
        </w:tblBorders>
        <w:tblLayout/>
      </w:tblPr>
      <w:tblGrid>
        <w:gridCol w:w="9135"/>
        <w:gridCol w:w="6865"/>
      </w:tblGrid>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выключателя</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контура полюса, мкОм, не более</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ВВН-110-6, ВВШ-110</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ВВН-154-8, ВВШ-150</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ВВН-220-10</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ВВН-220-15</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ВВН-330-15</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ВВ-330Б</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ВВ-500Б</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ВВУ-35, ВВБ-110, ВВБМ-110Б, ВВБК-110Б</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ВВУ-110Б, ВВБ-220Б, ВВД-220Б, ВВБК-220Б</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ВВБ-330Б, ВВД-330Б, ВВДМ-330Б, ВВБК-500А</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ВВБ-500А</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r>
      <w:tr>
        <w:trPr>
          <w:trHeight w:val="30" w:hRule="atLeast"/>
        </w:trPr>
        <w:tc>
          <w:tcPr>
            <w:tcW w:w="91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ВНВ-330-40, ВНВ-330-63, ВНВ-500-40, ВНВ-500-63</w:t>
            </w:r>
          </w:p>
        </w:tc>
        <w:tc>
          <w:tcPr>
            <w:tcW w:w="68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bl>
    <w:bookmarkEnd w:id="5044"/>
    <w:bookmarkStart w:name="637606500" w:id="50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045"/>
    <w:bookmarkStart w:name="637606501" w:id="50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bookmarkEnd w:id="5046"/>
    <w:bookmarkStart w:name="637606502" w:id="50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У выключателей типа ВВ напряжением 330—500 кВ значения сопротивлений следующих участков токоведущих контуров не должны превышать:</w:t>
      </w:r>
    </w:p>
    <w:bookmarkEnd w:id="5047"/>
    <w:bookmarkStart w:name="637606503" w:id="50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 мкОм – для шин, соединяющих гасительную камеру с отделителем;</w:t>
      </w:r>
    </w:p>
    <w:bookmarkEnd w:id="5048"/>
    <w:bookmarkStart w:name="637606504" w:id="50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 мкОм – для шины, соединяющей две половины отделителя;</w:t>
      </w:r>
    </w:p>
    <w:bookmarkEnd w:id="5049"/>
    <w:bookmarkStart w:name="637606505" w:id="50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мкОм – для перехода с аппаратного вывода отделителя на соединительную шину.</w:t>
      </w:r>
    </w:p>
    <w:bookmarkEnd w:id="5050"/>
    <w:bookmarkStart w:name="637606506" w:id="50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Значения сопротивлений каждого разрыва дугогасительного устройства выключателей 330–500 кВ серии ВНВ не должны превышать 35 мкОм.</w:t>
      </w:r>
    </w:p>
    <w:bookmarkEnd w:id="5051"/>
    <w:bookmarkStart w:name="637606507" w:id="5052"/>
    <w:p>
      <w:pPr>
        <w:spacing w:before="120" w:after="120" w:line="240"/>
        <w:ind w:left="0"/>
        <w:jc w:val="both"/>
      </w:pPr>
      <w:r>
        <w:rPr>
          <w:rFonts w:hint="default" w:ascii="Times New Roman" w:hAnsi="Times New Roman"/>
          <w:b/>
          <w:i w:val="false"/>
          <w:color w:val="000000"/>
          <w:sz w:val="24"/>
        </w:rPr>
        <w:t>Сопротивление постоянному току обмоток электромагнитов</w:t>
      </w:r>
      <w:r>
        <w:br/>
      </w:r>
      <w:r>
        <w:rPr>
          <w:rFonts w:hint="default" w:ascii="Times New Roman" w:hAnsi="Times New Roman"/>
          <w:b/>
          <w:i w:val="false"/>
          <w:color w:val="000000"/>
          <w:sz w:val="24"/>
        </w:rPr>
        <w:t>
воздушных выключателей</w:t>
      </w:r>
    </w:p>
    <w:bookmarkEnd w:id="5052"/>
    <w:bookmarkStart w:name="637606508" w:id="505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70</w:t>
      </w:r>
    </w:p>
    <w:bookmarkEnd w:id="5053"/>
    <w:bookmarkStart w:name="637606509" w:id="5054"/>
    <w:tbl>
      <w:tblPr>
        <w:tblW w:w="18660" w:type="auto"/>
        <w:tblCellSpacing w:w="0" w:type="auto"/>
        <w:tblBorders>
          <w:top w:val="none"/>
          <w:left w:val="none"/>
          <w:bottom w:val="none"/>
          <w:right w:val="none"/>
          <w:insideH w:val="none"/>
          <w:insideV w:val="none"/>
        </w:tblBorders>
        <w:tblLayout/>
      </w:tblPr>
      <w:tblGrid>
        <w:gridCol w:w="4592"/>
        <w:gridCol w:w="3896"/>
        <w:gridCol w:w="2441"/>
        <w:gridCol w:w="5071"/>
      </w:tblGrid>
      <w:tr>
        <w:trPr>
          <w:trHeight w:val="30" w:hRule="atLeast"/>
        </w:trPr>
        <w:tc>
          <w:tcPr>
            <w:tcW w:w="45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выключателя</w:t>
            </w:r>
          </w:p>
        </w:tc>
        <w:tc>
          <w:tcPr>
            <w:tcW w:w="38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Соединение электромагнитов трех фаз</w:t>
            </w:r>
          </w:p>
        </w:tc>
        <w:tc>
          <w:tcPr>
            <w:tcW w:w="24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В</w:t>
            </w:r>
          </w:p>
        </w:tc>
        <w:tc>
          <w:tcPr>
            <w:tcW w:w="50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обмотки, Ом</w:t>
            </w:r>
          </w:p>
        </w:tc>
      </w:tr>
      <w:tr>
        <w:trPr>
          <w:trHeight w:val="30" w:hRule="atLeast"/>
        </w:trPr>
        <w:tc>
          <w:tcPr>
            <w:tcW w:w="45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ВВН-110-6, ВВН-154-8,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ВВН-220-10, ВВ-330Б,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ВВ-500, ВВМ-500М</w:t>
            </w:r>
          </w:p>
        </w:tc>
        <w:tc>
          <w:tcPr>
            <w:tcW w:w="38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Раздельное или параллельное (электромагниты с форсировкой)</w:t>
            </w:r>
          </w:p>
        </w:tc>
        <w:tc>
          <w:tcPr>
            <w:tcW w:w="244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p>
          <w:p>
            <w:pPr>
              <w:spacing w:after="0"/>
              <w:ind w:left="14"/>
              <w:jc w:val="left"/>
            </w:pPr>
            <w:r>
              <w:rPr>
                <w:rFonts w:hint="default" w:ascii="Times New Roman" w:hAnsi="Times New Roman"/>
                <w:b w:val="false"/>
                <w:i w:val="false"/>
                <w:color w:val="000000"/>
                <w:sz w:val="24"/>
              </w:rPr>
              <w:t>110</w:t>
            </w:r>
          </w:p>
        </w:tc>
        <w:tc>
          <w:tcPr>
            <w:tcW w:w="507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1-я обмотка 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2-я обмотка 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Обе обмотки 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p>
            <w:pPr>
              <w:spacing w:after="0"/>
              <w:ind w:left="14"/>
              <w:jc w:val="left"/>
            </w:pPr>
            <w:r>
              <w:rPr>
                <w:rFonts w:hint="default" w:ascii="Times New Roman" w:hAnsi="Times New Roman"/>
                <w:b w:val="false"/>
                <w:i w:val="false"/>
                <w:color w:val="000000"/>
                <w:sz w:val="24"/>
              </w:rPr>
              <w:t>1-я обмотка 2,4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2-я обмотка 11,3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обе обмотки 13,7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0,55</w:t>
            </w:r>
          </w:p>
        </w:tc>
      </w:tr>
    </w:tbl>
    <w:bookmarkEnd w:id="5054"/>
    <w:bookmarkStart w:name="637606510" w:id="5055"/>
    <w:p>
      <w:pPr>
        <w:spacing w:before="120" w:after="120" w:line="240"/>
        <w:ind w:left="0"/>
        <w:jc w:val="both"/>
      </w:pPr>
      <w:r>
        <w:rPr>
          <w:rFonts w:hint="default" w:ascii="Times New Roman" w:hAnsi="Times New Roman"/>
          <w:b/>
          <w:i w:val="false"/>
          <w:color w:val="000000"/>
          <w:sz w:val="24"/>
        </w:rPr>
        <w:t>Количество операций при испытаниях воздушных выключателей многократными опробованиями</w:t>
      </w:r>
    </w:p>
    <w:bookmarkEnd w:id="5055"/>
    <w:bookmarkStart w:name="637606511" w:id="505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71</w:t>
      </w:r>
    </w:p>
    <w:bookmarkEnd w:id="5056"/>
    <w:bookmarkStart w:name="637606512" w:id="5057"/>
    <w:tbl>
      <w:tblPr>
        <w:tblW w:w="18660" w:type="auto"/>
        <w:tblCellSpacing w:w="0" w:type="auto"/>
        <w:tblBorders>
          <w:top w:val="none"/>
          <w:left w:val="none"/>
          <w:bottom w:val="none"/>
          <w:right w:val="none"/>
          <w:insideH w:val="none"/>
          <w:insideV w:val="none"/>
        </w:tblBorders>
        <w:tblLayout/>
      </w:tblPr>
      <w:tblGrid>
        <w:gridCol w:w="5672"/>
        <w:gridCol w:w="7338"/>
        <w:gridCol w:w="2990"/>
      </w:tblGrid>
      <w:tr>
        <w:trPr>
          <w:trHeight w:val="30" w:hRule="atLeast"/>
        </w:trPr>
        <w:tc>
          <w:tcPr>
            <w:tcW w:w="56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операций или цикла</w:t>
            </w:r>
          </w:p>
        </w:tc>
        <w:tc>
          <w:tcPr>
            <w:tcW w:w="73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Давление опробования выключателя</w:t>
            </w:r>
          </w:p>
        </w:tc>
        <w:tc>
          <w:tcPr>
            <w:tcW w:w="29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выполняемых операций и циклов</w:t>
            </w:r>
          </w:p>
        </w:tc>
      </w:tr>
      <w:tr>
        <w:trPr>
          <w:trHeight w:val="30" w:hRule="atLeast"/>
        </w:trPr>
        <w:tc>
          <w:tcPr>
            <w:tcW w:w="5672"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Включение и отключение</w:t>
            </w:r>
          </w:p>
          <w:p>
            <w:pPr>
              <w:spacing w:after="14"/>
              <w:ind w:left="14"/>
              <w:jc w:val="left"/>
            </w:pPr>
            <w:r>
              <w:rPr>
                <w:rFonts w:hint="default" w:ascii="Times New Roman" w:hAnsi="Times New Roman"/>
                <w:b w:val="false"/>
                <w:i w:val="false"/>
                <w:color w:val="000000"/>
                <w:sz w:val="24"/>
              </w:rPr>
              <w:t>Цикл В – О</w:t>
            </w:r>
          </w:p>
          <w:p>
            <w:pPr>
              <w:spacing w:after="14"/>
              <w:ind w:left="14"/>
              <w:jc w:val="left"/>
            </w:pPr>
            <w:r>
              <w:rPr>
                <w:rFonts w:hint="default" w:ascii="Times New Roman" w:hAnsi="Times New Roman"/>
                <w:b w:val="false"/>
                <w:i w:val="false"/>
                <w:color w:val="000000"/>
                <w:sz w:val="24"/>
              </w:rPr>
              <w:t>Цикл О – В (АПВ успешно6)</w:t>
            </w:r>
          </w:p>
          <w:p>
            <w:pPr>
              <w:spacing w:after="0"/>
              <w:ind w:left="14"/>
              <w:jc w:val="left"/>
            </w:pPr>
            <w:r>
              <w:rPr>
                <w:rFonts w:hint="default" w:ascii="Times New Roman" w:hAnsi="Times New Roman"/>
                <w:b w:val="false"/>
                <w:i w:val="false"/>
                <w:color w:val="000000"/>
                <w:sz w:val="24"/>
              </w:rPr>
              <w:t>Цикл О – В – О (АПВ неуспешное)</w:t>
            </w:r>
          </w:p>
        </w:tc>
        <w:tc>
          <w:tcPr>
            <w:tcW w:w="73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Минимальное давление срабатывания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Минимальное рабочее давление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Номинальное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Максимальное рабочее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Минимальное срабатывания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Минимальное рабочее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Максимальное рабочее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Минимальное для АПВ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Номинальное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Минимальное для АПВ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Максимальное рабочее</w:t>
            </w:r>
          </w:p>
        </w:tc>
        <w:tc>
          <w:tcPr>
            <w:tcW w:w="29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p>
        </w:tc>
      </w:tr>
    </w:tbl>
    <w:bookmarkEnd w:id="5057"/>
    <w:bookmarkStart w:name="637606513" w:id="50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Должны сниматься осциллограммы работы выключателей.</w:t>
      </w:r>
    </w:p>
    <w:bookmarkEnd w:id="5058"/>
    <w:bookmarkStart w:name="637606514" w:id="5059"/>
    <w:p>
      <w:pPr>
        <w:spacing w:before="120" w:after="120" w:line="240"/>
        <w:ind w:left="0"/>
        <w:jc w:val="both"/>
      </w:pPr>
      <w:r>
        <w:rPr>
          <w:rFonts w:hint="default" w:ascii="Times New Roman" w:hAnsi="Times New Roman"/>
          <w:b/>
          <w:i w:val="false"/>
          <w:color w:val="000000"/>
          <w:sz w:val="24"/>
        </w:rPr>
        <w:t>Наибольшее допустимое сопротивление постоянному току контактной системы разъединителей и отделителей</w:t>
      </w:r>
    </w:p>
    <w:bookmarkEnd w:id="5059"/>
    <w:bookmarkStart w:name="637606515" w:id="506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72</w:t>
      </w:r>
    </w:p>
    <w:bookmarkEnd w:id="5060"/>
    <w:bookmarkStart w:name="637606516" w:id="5061"/>
    <w:tbl>
      <w:tblPr>
        <w:tblW w:w="18660" w:type="auto"/>
        <w:tblCellSpacing w:w="0" w:type="auto"/>
        <w:tblBorders>
          <w:top w:val="none"/>
          <w:left w:val="none"/>
          <w:bottom w:val="none"/>
          <w:right w:val="none"/>
          <w:insideH w:val="none"/>
          <w:insideV w:val="none"/>
        </w:tblBorders>
        <w:tblLayout/>
      </w:tblPr>
      <w:tblGrid>
        <w:gridCol w:w="3760"/>
        <w:gridCol w:w="3940"/>
        <w:gridCol w:w="3998"/>
        <w:gridCol w:w="4302"/>
      </w:tblGrid>
      <w:tr>
        <w:trPr>
          <w:trHeight w:val="30" w:hRule="atLeast"/>
        </w:trPr>
        <w:tc>
          <w:tcPr>
            <w:tcW w:w="3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разъединителя (отделителя)</w:t>
            </w:r>
          </w:p>
        </w:tc>
        <w:tc>
          <w:tcPr>
            <w:tcW w:w="39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кВ</w:t>
            </w:r>
          </w:p>
        </w:tc>
        <w:tc>
          <w:tcPr>
            <w:tcW w:w="39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Номинальный ток, А</w:t>
            </w:r>
          </w:p>
        </w:tc>
        <w:tc>
          <w:tcPr>
            <w:tcW w:w="4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мкОм</w:t>
            </w:r>
          </w:p>
        </w:tc>
      </w:tr>
      <w:tr>
        <w:trPr>
          <w:trHeight w:val="30" w:hRule="atLeast"/>
        </w:trPr>
        <w:tc>
          <w:tcPr>
            <w:tcW w:w="37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РОН3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РЛН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Остальные типы</w:t>
            </w:r>
          </w:p>
        </w:tc>
        <w:tc>
          <w:tcPr>
            <w:tcW w:w="39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110–500</w:t>
            </w:r>
          </w:p>
        </w:tc>
        <w:tc>
          <w:tcPr>
            <w:tcW w:w="39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1500–2000</w:t>
            </w:r>
          </w:p>
        </w:tc>
        <w:tc>
          <w:tcPr>
            <w:tcW w:w="4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r>
    </w:tbl>
    <w:bookmarkEnd w:id="5061"/>
    <w:bookmarkStart w:name="637606517" w:id="5062"/>
    <w:p>
      <w:pPr>
        <w:spacing w:before="120" w:after="120" w:line="240"/>
        <w:ind w:left="0"/>
        <w:jc w:val="both"/>
      </w:pPr>
      <w:r>
        <w:rPr>
          <w:rFonts w:hint="default" w:ascii="Times New Roman" w:hAnsi="Times New Roman"/>
          <w:b/>
          <w:i w:val="false"/>
          <w:color w:val="000000"/>
          <w:sz w:val="24"/>
        </w:rPr>
        <w:t>Нормы вытягивающих усилий подвижных контактов из неподвижных (для одного ножа) для разъединителей и отделителей</w:t>
      </w:r>
    </w:p>
    <w:bookmarkEnd w:id="5062"/>
    <w:bookmarkStart w:name="637606518" w:id="506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73</w:t>
      </w:r>
    </w:p>
    <w:bookmarkEnd w:id="5063"/>
    <w:bookmarkStart w:name="637606519" w:id="5064"/>
    <w:tbl>
      <w:tblPr>
        <w:tblW w:w="18660" w:type="auto"/>
        <w:tblCellSpacing w:w="0" w:type="auto"/>
        <w:tblBorders>
          <w:top w:val="none"/>
          <w:left w:val="none"/>
          <w:bottom w:val="none"/>
          <w:right w:val="none"/>
          <w:insideH w:val="none"/>
          <w:insideV w:val="none"/>
        </w:tblBorders>
        <w:tblLayout/>
      </w:tblPr>
      <w:tblGrid>
        <w:gridCol w:w="5147"/>
        <w:gridCol w:w="5169"/>
        <w:gridCol w:w="5684"/>
      </w:tblGrid>
      <w:tr>
        <w:trPr>
          <w:trHeight w:val="30" w:hRule="atLeast"/>
        </w:trPr>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аппарата</w:t>
            </w:r>
          </w:p>
        </w:tc>
        <w:tc>
          <w:tcPr>
            <w:tcW w:w="51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Номинальный ток, А</w:t>
            </w:r>
          </w:p>
        </w:tc>
        <w:tc>
          <w:tcPr>
            <w:tcW w:w="5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Усилие, Н (кгс)</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Разъединители</w:t>
            </w:r>
          </w:p>
        </w:tc>
      </w:tr>
      <w:tr>
        <w:trPr>
          <w:trHeight w:val="30" w:hRule="atLeast"/>
        </w:trPr>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РВК-10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РВК-20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РВ(3)-20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РВ(3)-35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РЛНД-110</w:t>
            </w:r>
          </w:p>
        </w:tc>
        <w:tc>
          <w:tcPr>
            <w:tcW w:w="51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 4000; 5000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5000; 6000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5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490–540 (50–55)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490–540 (50–55)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830–850 (85–87)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118–157 (12–16)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137–176 (14–18)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176–225 (18–23)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157–176 (16–18)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176–196 (18–20)</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Отделители</w:t>
            </w:r>
          </w:p>
        </w:tc>
      </w:tr>
      <w:tr>
        <w:trPr>
          <w:trHeight w:val="30" w:hRule="atLeast"/>
        </w:trPr>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ОД-110М; ОД-150М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ОД-220М</w:t>
            </w:r>
          </w:p>
        </w:tc>
        <w:tc>
          <w:tcPr>
            <w:tcW w:w="51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56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157–176 (16–18)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176–196 (18–20)</w:t>
            </w:r>
          </w:p>
        </w:tc>
      </w:tr>
    </w:tbl>
    <w:bookmarkEnd w:id="5064"/>
    <w:bookmarkStart w:name="637606520" w:id="5065"/>
    <w:p>
      <w:pPr>
        <w:spacing w:before="120" w:after="120" w:line="240"/>
        <w:ind w:left="0"/>
        <w:jc w:val="both"/>
      </w:pPr>
      <w:r>
        <w:rPr>
          <w:rFonts w:hint="default" w:ascii="Times New Roman" w:hAnsi="Times New Roman"/>
          <w:b/>
          <w:i w:val="false"/>
          <w:color w:val="000000"/>
          <w:sz w:val="24"/>
        </w:rPr>
        <w:t>Наибольшее допустимое время отключения отделителей и включения короткозамыкателей</w:t>
      </w:r>
    </w:p>
    <w:bookmarkEnd w:id="5065"/>
    <w:bookmarkStart w:name="637606521" w:id="506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74</w:t>
      </w:r>
    </w:p>
    <w:bookmarkEnd w:id="5066"/>
    <w:bookmarkStart w:name="637606522" w:id="5067"/>
    <w:tbl>
      <w:tblPr>
        <w:tblW w:w="18660" w:type="auto"/>
        <w:tblCellSpacing w:w="0" w:type="auto"/>
        <w:tblBorders>
          <w:top w:val="none"/>
          <w:left w:val="none"/>
          <w:bottom w:val="none"/>
          <w:right w:val="none"/>
          <w:insideH w:val="none"/>
          <w:insideV w:val="none"/>
        </w:tblBorders>
        <w:tblLayout/>
      </w:tblPr>
      <w:tblGrid>
        <w:gridCol w:w="1137"/>
        <w:gridCol w:w="1354"/>
        <w:gridCol w:w="11577"/>
        <w:gridCol w:w="724"/>
        <w:gridCol w:w="1208"/>
      </w:tblGrid>
      <w:tr>
        <w:trPr>
          <w:trHeight w:val="30" w:hRule="atLeast"/>
        </w:trPr>
        <w:tc>
          <w:tcPr>
            <w:tcW w:w="11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аппарата</w:t>
            </w:r>
          </w:p>
        </w:tc>
        <w:tc>
          <w:tcPr>
            <w:tcW w:w="1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не более, с</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аппарата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Время отключения, не более, с</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Отделители</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Короткозамыкатели</w:t>
            </w:r>
          </w:p>
        </w:tc>
      </w:tr>
      <w:tr>
        <w:trPr>
          <w:trHeight w:val="30" w:hRule="atLeast"/>
        </w:trPr>
        <w:tc>
          <w:tcPr>
            <w:tcW w:w="11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ОД-110М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ОД-150М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ОД-220М</w:t>
            </w:r>
          </w:p>
        </w:tc>
        <w:tc>
          <w:tcPr>
            <w:tcW w:w="1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0,7–0,9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КЗ-35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КЗ-110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КЗ-110М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КЗ-220, КЗ-150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КЗ-150М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КЗ-220М</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0,4</w:t>
            </w:r>
          </w:p>
        </w:tc>
      </w:tr>
    </w:tbl>
    <w:bookmarkEnd w:id="5067"/>
    <w:bookmarkStart w:name="637606523" w:id="5068"/>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изоляции ячеек КРУ и КРУН</w:t>
      </w:r>
    </w:p>
    <w:bookmarkEnd w:id="5068"/>
    <w:bookmarkStart w:name="637606524" w:id="506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75</w:t>
      </w:r>
    </w:p>
    <w:bookmarkEnd w:id="5069"/>
    <w:bookmarkStart w:name="637606525" w:id="5070"/>
    <w:tbl>
      <w:tblPr>
        <w:tblW w:w="18660" w:type="auto"/>
        <w:tblCellSpacing w:w="0" w:type="auto"/>
        <w:tblBorders>
          <w:top w:val="none"/>
          <w:left w:val="none"/>
          <w:bottom w:val="none"/>
          <w:right w:val="none"/>
          <w:insideH w:val="none"/>
          <w:insideV w:val="none"/>
        </w:tblBorders>
        <w:tblLayout/>
      </w:tblPr>
      <w:tblGrid>
        <w:gridCol w:w="555"/>
        <w:gridCol w:w="588"/>
        <w:gridCol w:w="811"/>
        <w:gridCol w:w="6337"/>
        <w:gridCol w:w="195"/>
        <w:gridCol w:w="6334"/>
        <w:gridCol w:w="329"/>
        <w:gridCol w:w="851"/>
      </w:tblGrid>
      <w:tr>
        <w:trPr>
          <w:trHeight w:val="30" w:hRule="atLeast"/>
        </w:trPr>
        <w:tc>
          <w:tcPr>
            <w:tcW w:w="55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ячейки с изоляцией</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ячейки с изоляцией</w:t>
            </w:r>
          </w:p>
        </w:tc>
      </w:tr>
      <w:tr>
        <w:trPr>
          <w:trHeight w:val="30" w:hRule="atLeast"/>
        </w:trPr>
        <w:tc>
          <w:tcPr>
            <w:tcW w:w="0" w:type="auto"/>
            <w:vMerge/>
            <w:tcBorders>
              <w:top w:val="nil"/>
              <w:left w:val="single" w:color="cfcfcf" w:sz="8"/>
              <w:bottom w:val="single" w:color="cfcfcf" w:sz="8"/>
              <w:right w:val="single" w:color="cfcfcf" w:sz="8"/>
            </w:tcBorders>
          </w:tcPr>
          <w:p/>
        </w:tc>
        <w:tc>
          <w:tcPr>
            <w:tcW w:w="5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Керамической</w:t>
            </w:r>
          </w:p>
        </w:tc>
        <w:tc>
          <w:tcPr>
            <w:tcW w:w="8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 твердых органических материалов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Керамической</w:t>
            </w:r>
          </w:p>
        </w:tc>
        <w:tc>
          <w:tcPr>
            <w:tcW w:w="0" w:type="auto"/>
            <w:gridSpan w:val="2"/>
            <w:vMerge/>
            <w:tcBorders>
              <w:top w:val="nil"/>
              <w:left w:val="single" w:color="cfcfcf" w:sz="8"/>
              <w:bottom w:val="single" w:color="cfcfcf" w:sz="8"/>
              <w:right w:val="single" w:color="cfcfcf" w:sz="8"/>
            </w:tcBorders>
          </w:tcPr>
          <w:p/>
        </w:tc>
        <w:tc>
          <w:tcPr>
            <w:tcW w:w="3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 твердых органических материалов</w:t>
            </w:r>
          </w:p>
        </w:tc>
      </w:tr>
      <w:tr>
        <w:trPr>
          <w:trHeight w:val="30" w:hRule="atLeast"/>
        </w:trPr>
        <w:tc>
          <w:tcPr>
            <w:tcW w:w="5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c>
          <w:tcPr>
            <w:tcW w:w="5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p>
        </w:tc>
        <w:tc>
          <w:tcPr>
            <w:tcW w:w="8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37,8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c>
          <w:tcPr>
            <w:tcW w:w="8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85,5</w:t>
            </w:r>
          </w:p>
        </w:tc>
      </w:tr>
    </w:tbl>
    <w:bookmarkEnd w:id="5070"/>
    <w:bookmarkStart w:name="637606526" w:id="5071"/>
    <w:p>
      <w:pPr>
        <w:spacing w:before="120" w:after="120" w:line="240"/>
        <w:ind w:left="0"/>
        <w:jc w:val="both"/>
      </w:pPr>
      <w:r>
        <w:rPr>
          <w:rFonts w:hint="default" w:ascii="Times New Roman" w:hAnsi="Times New Roman"/>
          <w:b/>
          <w:i w:val="false"/>
          <w:color w:val="000000"/>
          <w:sz w:val="24"/>
        </w:rPr>
        <w:t>Наибольшее допустимое сопротивление постоянному току контактов КРУ и КРУН</w:t>
      </w:r>
    </w:p>
    <w:bookmarkEnd w:id="5071"/>
    <w:bookmarkStart w:name="637606527" w:id="507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76</w:t>
      </w:r>
    </w:p>
    <w:bookmarkEnd w:id="5072"/>
    <w:bookmarkStart w:name="637606528" w:id="5073"/>
    <w:tbl>
      <w:tblPr>
        <w:tblW w:w="18660" w:type="auto"/>
        <w:tblCellSpacing w:w="0" w:type="auto"/>
        <w:tblBorders>
          <w:top w:val="none"/>
          <w:left w:val="none"/>
          <w:bottom w:val="none"/>
          <w:right w:val="none"/>
          <w:insideH w:val="none"/>
          <w:insideV w:val="none"/>
        </w:tblBorders>
        <w:tblLayout/>
      </w:tblPr>
      <w:tblGrid>
        <w:gridCol w:w="7649"/>
        <w:gridCol w:w="8351"/>
      </w:tblGrid>
      <w:tr>
        <w:trPr>
          <w:trHeight w:val="30" w:hRule="atLeast"/>
        </w:trPr>
        <w:tc>
          <w:tcPr>
            <w:tcW w:w="76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Измеряемый объект</w:t>
            </w:r>
          </w:p>
        </w:tc>
        <w:tc>
          <w:tcPr>
            <w:tcW w:w="83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Ом</w:t>
            </w:r>
          </w:p>
        </w:tc>
      </w:tr>
      <w:tr>
        <w:trPr>
          <w:trHeight w:val="30" w:hRule="atLeast"/>
        </w:trPr>
        <w:tc>
          <w:tcPr>
            <w:tcW w:w="76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Соединения сборных шин (выборочно)</w:t>
            </w:r>
          </w:p>
        </w:tc>
        <w:tc>
          <w:tcPr>
            <w:tcW w:w="83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должно превышать более чем в 1,2 раза сопротивление участка шин той же длины без соединения</w:t>
            </w:r>
          </w:p>
        </w:tc>
      </w:tr>
      <w:tr>
        <w:trPr>
          <w:trHeight w:val="30" w:hRule="atLeast"/>
        </w:trPr>
        <w:tc>
          <w:tcPr>
            <w:tcW w:w="76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Разъемные соединения первичной цепи (выборочно, если позволяет конструкция КРУ)</w:t>
            </w:r>
          </w:p>
        </w:tc>
        <w:tc>
          <w:tcPr>
            <w:tcW w:w="83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Определяется заводскими инструкциями. Для КРУ, у которых инструкции не нормируют сопротивление, их сопротивление должно быть не более,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для контактов: 400 А – 75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 - 600 А – 60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 - 900 А – 50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 - 1200 А – 40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 - 1600 А – 40 мкОм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 - 2000 А и выше – 33 мкОм</w:t>
            </w:r>
          </w:p>
        </w:tc>
      </w:tr>
      <w:tr>
        <w:trPr>
          <w:trHeight w:val="30" w:hRule="atLeast"/>
        </w:trPr>
        <w:tc>
          <w:tcPr>
            <w:tcW w:w="76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Разъединяющие контакты вторичной силовой цепи (выборочно, только для контактов скользящего тип1)</w:t>
            </w:r>
          </w:p>
        </w:tc>
        <w:tc>
          <w:tcPr>
            <w:tcW w:w="83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контактов должно быть не более 4000 мкОм</w:t>
            </w:r>
          </w:p>
        </w:tc>
      </w:tr>
      <w:tr>
        <w:trPr>
          <w:trHeight w:val="30" w:hRule="atLeast"/>
        </w:trPr>
        <w:tc>
          <w:tcPr>
            <w:tcW w:w="76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Связь заземления выдвижного элемента с корпусом</w:t>
            </w:r>
          </w:p>
        </w:tc>
        <w:tc>
          <w:tcPr>
            <w:tcW w:w="83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более 0,1 Ом</w:t>
            </w:r>
          </w:p>
        </w:tc>
      </w:tr>
    </w:tbl>
    <w:bookmarkEnd w:id="5073"/>
    <w:bookmarkStart w:name="637606529" w:id="5074"/>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для изоляции токопровода</w:t>
      </w:r>
    </w:p>
    <w:bookmarkEnd w:id="5074"/>
    <w:bookmarkStart w:name="637606530" w:id="507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77</w:t>
      </w:r>
    </w:p>
    <w:bookmarkEnd w:id="5075"/>
    <w:bookmarkStart w:name="637606531" w:id="5076"/>
    <w:tbl>
      <w:tblPr>
        <w:tblW w:w="18660" w:type="auto"/>
        <w:tblCellSpacing w:w="0" w:type="auto"/>
        <w:tblBorders>
          <w:top w:val="none"/>
          <w:left w:val="none"/>
          <w:bottom w:val="none"/>
          <w:right w:val="none"/>
          <w:insideH w:val="none"/>
          <w:insideV w:val="none"/>
        </w:tblBorders>
        <w:tblLayout/>
      </w:tblPr>
      <w:tblGrid>
        <w:gridCol w:w="2003"/>
        <w:gridCol w:w="6667"/>
        <w:gridCol w:w="7330"/>
      </w:tblGrid>
      <w:tr>
        <w:trPr>
          <w:trHeight w:val="30" w:hRule="atLeast"/>
        </w:trPr>
        <w:tc>
          <w:tcPr>
            <w:tcW w:w="200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токопровода с изоляцией</w:t>
            </w:r>
          </w:p>
        </w:tc>
      </w:tr>
      <w:tr>
        <w:trPr>
          <w:trHeight w:val="30" w:hRule="atLeast"/>
        </w:trPr>
        <w:tc>
          <w:tcPr>
            <w:tcW w:w="0" w:type="auto"/>
            <w:vMerge/>
            <w:tcBorders>
              <w:top w:val="nil"/>
              <w:left w:val="single" w:color="cfcfcf" w:sz="8"/>
              <w:bottom w:val="single" w:color="cfcfcf" w:sz="8"/>
              <w:right w:val="single" w:color="cfcfcf" w:sz="8"/>
            </w:tcBorders>
          </w:tcPr>
          <w:p/>
        </w:tc>
        <w:tc>
          <w:tcPr>
            <w:tcW w:w="6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фарфоровой</w:t>
            </w:r>
          </w:p>
        </w:tc>
        <w:tc>
          <w:tcPr>
            <w:tcW w:w="73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смешанной (керамической и из твердых органических материалов)</w:t>
            </w:r>
          </w:p>
        </w:tc>
      </w:tr>
      <w:tr>
        <w:trPr>
          <w:trHeight w:val="30" w:hRule="atLeast"/>
        </w:trPr>
        <w:tc>
          <w:tcPr>
            <w:tcW w:w="20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6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c>
          <w:tcPr>
            <w:tcW w:w="73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37,8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85,5</w:t>
            </w:r>
          </w:p>
        </w:tc>
      </w:tr>
    </w:tbl>
    <w:bookmarkEnd w:id="5076"/>
    <w:bookmarkStart w:name="637606532" w:id="5077"/>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фарфоровой опорной изоляции сухих токоограничивающих реакторов и предохранителей</w:t>
      </w:r>
    </w:p>
    <w:bookmarkEnd w:id="5077"/>
    <w:bookmarkStart w:name="637606533" w:id="507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78</w:t>
      </w:r>
    </w:p>
    <w:bookmarkEnd w:id="5078"/>
    <w:bookmarkStart w:name="637606534" w:id="5079"/>
    <w:tbl>
      <w:tblPr>
        <w:tblW w:w="18660" w:type="auto"/>
        <w:tblCellSpacing w:w="0" w:type="auto"/>
        <w:tblBorders>
          <w:top w:val="none"/>
          <w:left w:val="none"/>
          <w:bottom w:val="none"/>
          <w:right w:val="none"/>
          <w:insideH w:val="none"/>
          <w:insideV w:val="none"/>
        </w:tblBorders>
        <w:tblLayout/>
      </w:tblPr>
      <w:tblGrid>
        <w:gridCol w:w="5346"/>
        <w:gridCol w:w="1645"/>
        <w:gridCol w:w="1645"/>
        <w:gridCol w:w="1645"/>
        <w:gridCol w:w="1646"/>
        <w:gridCol w:w="1646"/>
        <w:gridCol w:w="2427"/>
      </w:tblGrid>
      <w:tr>
        <w:trPr>
          <w:trHeight w:val="30" w:hRule="atLeast"/>
        </w:trPr>
        <w:tc>
          <w:tcPr>
            <w:tcW w:w="53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напряжения реактора, кВ</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6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16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24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53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p>
        </w:tc>
        <w:tc>
          <w:tcPr>
            <w:tcW w:w="16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p>
        </w:tc>
        <w:tc>
          <w:tcPr>
            <w:tcW w:w="16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16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4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r>
    </w:tbl>
    <w:bookmarkEnd w:id="5079"/>
    <w:bookmarkStart w:name="637606535" w:id="5080"/>
    <w:p>
      <w:pPr>
        <w:spacing w:before="120" w:after="120" w:line="240"/>
        <w:ind w:left="0"/>
        <w:jc w:val="both"/>
      </w:pPr>
      <w:r>
        <w:rPr>
          <w:rFonts w:hint="default" w:ascii="Times New Roman" w:hAnsi="Times New Roman"/>
          <w:b/>
          <w:i w:val="false"/>
          <w:color w:val="000000"/>
          <w:sz w:val="24"/>
        </w:rPr>
        <w:t>Указания по снятию характеристик электрофильтров</w:t>
      </w:r>
    </w:p>
    <w:bookmarkEnd w:id="5080"/>
    <w:bookmarkStart w:name="637606536" w:id="508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79</w:t>
      </w:r>
    </w:p>
    <w:bookmarkEnd w:id="5081"/>
    <w:bookmarkStart w:name="637606537" w:id="5082"/>
    <w:tbl>
      <w:tblPr>
        <w:tblW w:w="18660" w:type="auto"/>
        <w:tblCellSpacing w:w="0" w:type="auto"/>
        <w:tblBorders>
          <w:top w:val="none"/>
          <w:left w:val="none"/>
          <w:bottom w:val="none"/>
          <w:right w:val="none"/>
          <w:insideH w:val="none"/>
          <w:insideV w:val="none"/>
        </w:tblBorders>
        <w:tblLayout/>
      </w:tblPr>
      <w:tblGrid>
        <w:gridCol w:w="2731"/>
        <w:gridCol w:w="8583"/>
        <w:gridCol w:w="4686"/>
      </w:tblGrid>
      <w:tr>
        <w:trPr>
          <w:trHeight w:val="30" w:hRule="atLeast"/>
        </w:trPr>
        <w:tc>
          <w:tcPr>
            <w:tcW w:w="27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85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Порядок снятия вольт-амперных характеристик</w:t>
            </w:r>
          </w:p>
        </w:tc>
        <w:tc>
          <w:tcPr>
            <w:tcW w:w="46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Требования к результатам испытаний</w:t>
            </w:r>
          </w:p>
        </w:tc>
      </w:tr>
      <w:tr>
        <w:trPr>
          <w:trHeight w:val="30" w:hRule="atLeast"/>
        </w:trPr>
        <w:tc>
          <w:tcPr>
            <w:tcW w:w="27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Каждое поле на воздухе</w:t>
            </w:r>
          </w:p>
        </w:tc>
        <w:tc>
          <w:tcPr>
            <w:tcW w:w="85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Вольт-амперная характеристика снимается при плавном повышении напряжения с интервалами изменения токовой нагрузки 5 – 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46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Пробивное напряжение на электродах должно быть не менее 40 кВ при номинальном токе короны в течение 15 мин</w:t>
            </w:r>
          </w:p>
        </w:tc>
      </w:tr>
      <w:tr>
        <w:trPr>
          <w:trHeight w:val="30" w:hRule="atLeast"/>
        </w:trPr>
        <w:tc>
          <w:tcPr>
            <w:tcW w:w="27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Все поля электро-фильтра на воздухе</w:t>
            </w:r>
          </w:p>
        </w:tc>
        <w:tc>
          <w:tcPr>
            <w:tcW w:w="85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46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Характеристики, снятые в начале и конце 24 ч испытания, не должны отличаться друг от друга более чем на 10 %</w:t>
            </w:r>
          </w:p>
        </w:tc>
      </w:tr>
      <w:tr>
        <w:trPr>
          <w:trHeight w:val="30" w:hRule="atLeast"/>
        </w:trPr>
        <w:tc>
          <w:tcPr>
            <w:tcW w:w="27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Все поля электро-фильтра на дымовом газе</w:t>
            </w:r>
          </w:p>
        </w:tc>
        <w:tc>
          <w:tcPr>
            <w:tcW w:w="85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46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Характеристики, снятые в начале и конце 72 ч испытания, не должны отличаться друг от друга более чем на 10 %</w:t>
            </w:r>
          </w:p>
        </w:tc>
      </w:tr>
    </w:tbl>
    <w:bookmarkEnd w:id="5082"/>
    <w:bookmarkStart w:name="637606538" w:id="5083"/>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для элементов и цепей статических преобразователей</w:t>
      </w:r>
    </w:p>
    <w:bookmarkEnd w:id="5083"/>
    <w:bookmarkStart w:name="637606539" w:id="508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80</w:t>
      </w:r>
    </w:p>
    <w:bookmarkEnd w:id="5084"/>
    <w:bookmarkStart w:name="637606540" w:id="5085"/>
    <w:tbl>
      <w:tblPr>
        <w:tblW w:w="18660" w:type="auto"/>
        <w:tblCellSpacing w:w="0" w:type="auto"/>
        <w:tblBorders>
          <w:top w:val="none"/>
          <w:left w:val="none"/>
          <w:bottom w:val="none"/>
          <w:right w:val="none"/>
          <w:insideH w:val="none"/>
          <w:insideV w:val="none"/>
        </w:tblBorders>
        <w:tblLayout/>
      </w:tblPr>
      <w:tblGrid>
        <w:gridCol w:w="4823"/>
        <w:gridCol w:w="3511"/>
        <w:gridCol w:w="4235"/>
        <w:gridCol w:w="3431"/>
      </w:tblGrid>
      <w:tr>
        <w:trPr>
          <w:trHeight w:val="30" w:hRule="atLeast"/>
        </w:trPr>
        <w:tc>
          <w:tcPr>
            <w:tcW w:w="482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Испытуемые узлы и цепи преобразователя</w:t>
            </w:r>
          </w:p>
        </w:tc>
        <w:tc>
          <w:tcPr>
            <w:tcW w:w="351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Узлы, по отношению к которым испытывают изоляцию</w:t>
            </w:r>
          </w:p>
        </w:tc>
        <w:tc>
          <w:tcPr>
            <w:tcW w:w="0" w:type="auto"/>
            <w:gridSpan w:val="2"/>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Испытательное напряжение, В, для схем</w:t>
            </w:r>
          </w:p>
          <w:p>
            <w:pPr>
              <w:spacing w:after="0"/>
              <w:ind w:left="14"/>
              <w:jc w:val="left"/>
            </w:pPr>
            <w:r>
              <w:rPr>
                <w:rFonts w:hint="default" w:ascii="Times New Roman" w:hAnsi="Times New Roman"/>
                <w:b w:val="false"/>
                <w:i w:val="false"/>
                <w:color w:val="000000"/>
                <w:sz w:val="24"/>
              </w:rPr>
              <w:t>схем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нулевых</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мостовых</w:t>
            </w:r>
          </w:p>
        </w:tc>
      </w:tr>
      <w:tr>
        <w:trPr>
          <w:trHeight w:val="30" w:hRule="atLeast"/>
        </w:trPr>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Преобразователи</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Цепи, связанные с анодами</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Заземленные детали</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Катоды и корпуса вентилей и цепи, связанные с катодами, расположенными в шкафах</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+ 750</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Рамы</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+ 750</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Вторичные обмотки вспомогательных трансформаторов и цепи, связанные с ними</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Первичные обмотки вспомогательных трансформаторов и цепи, связанные с ними, а также заземленные детали</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+ 750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 не менее 2250 3)</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(но не менее 2250 3)</w:t>
            </w:r>
          </w:p>
        </w:tc>
      </w:tr>
      <w:tr>
        <w:trPr>
          <w:trHeight w:val="30" w:hRule="atLeast"/>
        </w:trPr>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Преобразовательные трансформаторы</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Вентильные обмотки и их выводы</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Корпус и другие обмотки</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Уравнительные реакторы (обмотки и выводы) и вторичные обмотки утроителей частоты</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Корпус</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Ветви уравнительного реактора</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Один по отношению к другому</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+ 750</w:t>
            </w:r>
          </w:p>
        </w:tc>
        <w:tc>
          <w:tcPr>
            <w:tcW w:w="3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r>
      <w:tr>
        <w:trPr>
          <w:trHeight w:val="30" w:hRule="atLeast"/>
        </w:trPr>
        <w:tc>
          <w:tcPr>
            <w:tcW w:w="48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Анодные делители (обмотки и выводы)</w:t>
            </w:r>
          </w:p>
        </w:tc>
        <w:tc>
          <w:tcPr>
            <w:tcW w:w="35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Корпус или заземленные детали</w:t>
            </w:r>
          </w:p>
        </w:tc>
        <w:tc>
          <w:tcPr>
            <w:tcW w:w="42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 U</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+ 3750</w:t>
            </w:r>
          </w:p>
        </w:tc>
        <w:tc>
          <w:tcPr>
            <w:tcW w:w="3431" w:type="dxa"/>
            <w:tcBorders>
              <w:top w:val="single" w:color="cfcfcf" w:sz="8"/>
              <w:left w:val="single" w:color="cfcfcf" w:sz="8"/>
              <w:bottom w:val="single" w:color="cfcfcf" w:sz="8"/>
              <w:right w:val="single" w:color="cfcfcf" w:sz="8"/>
            </w:tcBorders>
            <w:vAlign w:val="center"/>
          </w:tcPr>
          <w:p>
            <w:pPr>
              <w:spacing w:after="0"/>
              <w:ind w:left="0"/>
              <w:jc w:val="left"/>
            </w:pPr>
          </w:p>
        </w:tc>
      </w:tr>
    </w:tbl>
    <w:bookmarkEnd w:id="5085"/>
    <w:bookmarkStart w:name="637606541" w:id="5086"/>
    <w:p>
      <w:pPr>
        <w:spacing w:before="120" w:after="120" w:line="240"/>
        <w:ind w:left="0"/>
        <w:jc w:val="both"/>
      </w:pPr>
      <w:r>
        <w:rPr>
          <w:rFonts w:hint="default" w:ascii="Times New Roman" w:hAnsi="Times New Roman"/>
          <w:b/>
          <w:i w:val="false"/>
          <w:color w:val="000000"/>
          <w:sz w:val="24"/>
        </w:rPr>
        <w:t>Наибольшее допустимое отклонение емкости конденсаторов</w:t>
      </w:r>
    </w:p>
    <w:bookmarkEnd w:id="5086"/>
    <w:bookmarkStart w:name="637606542" w:id="508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81</w:t>
      </w:r>
    </w:p>
    <w:bookmarkEnd w:id="5087"/>
    <w:bookmarkStart w:name="637606543" w:id="5088"/>
    <w:tbl>
      <w:tblPr>
        <w:tblW w:w="18660" w:type="auto"/>
        <w:tblCellSpacing w:w="0" w:type="auto"/>
        <w:tblBorders>
          <w:top w:val="none"/>
          <w:left w:val="none"/>
          <w:bottom w:val="none"/>
          <w:right w:val="none"/>
          <w:insideH w:val="none"/>
          <w:insideV w:val="none"/>
        </w:tblBorders>
        <w:tblLayout/>
      </w:tblPr>
      <w:tblGrid>
        <w:gridCol w:w="10707"/>
        <w:gridCol w:w="5293"/>
      </w:tblGrid>
      <w:tr>
        <w:trPr>
          <w:trHeight w:val="30" w:hRule="atLeast"/>
        </w:trPr>
        <w:tc>
          <w:tcPr>
            <w:tcW w:w="107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или тип конденсатора</w:t>
            </w:r>
          </w:p>
        </w:tc>
        <w:tc>
          <w:tcPr>
            <w:tcW w:w="5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Допустимое отклонение, %</w:t>
            </w:r>
          </w:p>
        </w:tc>
      </w:tr>
      <w:tr>
        <w:trPr>
          <w:trHeight w:val="30" w:hRule="atLeast"/>
        </w:trPr>
        <w:tc>
          <w:tcPr>
            <w:tcW w:w="107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Конденсаторы для повышения коэффициента мощности напряжением: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1050 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выше 1050 В</w:t>
            </w:r>
          </w:p>
        </w:tc>
        <w:tc>
          <w:tcPr>
            <w:tcW w:w="5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5</w:t>
            </w:r>
          </w:p>
        </w:tc>
      </w:tr>
      <w:tr>
        <w:trPr>
          <w:trHeight w:val="30" w:hRule="atLeast"/>
        </w:trPr>
        <w:tc>
          <w:tcPr>
            <w:tcW w:w="107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Конденсаторы типов: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СМР-66/</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 СМР-110/</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69900" cy="495300"/>
                          </a:xfrm>
                          <a:prstGeom prst="rect">
                            <a:avLst/>
                          </a:prstGeom>
                        </pic:spPr>
                      </pic:pic>
                    </a:graphicData>
                  </a:graphic>
                </wp:inline>
              </w:drawing>
            </w:r>
          </w:p>
        </w:tc>
        <w:tc>
          <w:tcPr>
            <w:tcW w:w="5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5</w:t>
            </w:r>
          </w:p>
        </w:tc>
      </w:tr>
      <w:tr>
        <w:trPr>
          <w:trHeight w:val="30" w:hRule="atLeast"/>
        </w:trPr>
        <w:tc>
          <w:tcPr>
            <w:tcW w:w="107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СМР-166/</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 СМР-133/</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 ОМР-15</w:t>
            </w:r>
          </w:p>
        </w:tc>
        <w:tc>
          <w:tcPr>
            <w:tcW w:w="5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w:t>
            </w:r>
          </w:p>
        </w:tc>
      </w:tr>
      <w:tr>
        <w:trPr>
          <w:trHeight w:val="30" w:hRule="atLeast"/>
        </w:trPr>
        <w:tc>
          <w:tcPr>
            <w:tcW w:w="107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ДМР-80, ДМРУ-80, ДМРУ-60, ДМРУ-55, ДМРУ-110</w:t>
            </w:r>
          </w:p>
        </w:tc>
        <w:tc>
          <w:tcPr>
            <w:tcW w:w="52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r>
    </w:tbl>
    <w:bookmarkEnd w:id="5088"/>
    <w:bookmarkStart w:name="637606544" w:id="5089"/>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конденсаторов для повышения коэффициента мощности</w:t>
      </w:r>
    </w:p>
    <w:bookmarkEnd w:id="5089"/>
    <w:bookmarkStart w:name="637606545" w:id="509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82</w:t>
      </w:r>
    </w:p>
    <w:bookmarkEnd w:id="5090"/>
    <w:bookmarkStart w:name="637606546" w:id="5091"/>
    <w:tbl>
      <w:tblPr>
        <w:tblW w:w="18660" w:type="auto"/>
        <w:tblCellSpacing w:w="0" w:type="auto"/>
        <w:tblBorders>
          <w:top w:val="none"/>
          <w:left w:val="none"/>
          <w:bottom w:val="none"/>
          <w:right w:val="none"/>
          <w:insideH w:val="none"/>
          <w:insideV w:val="none"/>
        </w:tblBorders>
        <w:tblLayout/>
      </w:tblPr>
      <w:tblGrid>
        <w:gridCol w:w="6223"/>
        <w:gridCol w:w="1298"/>
        <w:gridCol w:w="1298"/>
        <w:gridCol w:w="1298"/>
        <w:gridCol w:w="1298"/>
        <w:gridCol w:w="1298"/>
        <w:gridCol w:w="1298"/>
        <w:gridCol w:w="1989"/>
      </w:tblGrid>
      <w:tr>
        <w:trPr>
          <w:trHeight w:val="30" w:hRule="atLeast"/>
        </w:trPr>
        <w:tc>
          <w:tcPr>
            <w:tcW w:w="622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Испытуемая изоляция</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для конденсаторов с рабочим напряжением,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0,22</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0,38</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0,50</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0,66</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3,15</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w:t>
            </w:r>
          </w:p>
        </w:tc>
        <w:tc>
          <w:tcPr>
            <w:tcW w:w="1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r>
      <w:tr>
        <w:trPr>
          <w:trHeight w:val="30" w:hRule="atLeast"/>
        </w:trPr>
        <w:tc>
          <w:tcPr>
            <w:tcW w:w="62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обкладками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Относительно корпуса</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5,1</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5,1</w:t>
            </w:r>
          </w:p>
        </w:tc>
        <w:tc>
          <w:tcPr>
            <w:tcW w:w="12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15,3</w:t>
            </w:r>
          </w:p>
        </w:tc>
        <w:tc>
          <w:tcPr>
            <w:tcW w:w="1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21,3</w:t>
            </w:r>
          </w:p>
        </w:tc>
      </w:tr>
    </w:tbl>
    <w:bookmarkEnd w:id="5091"/>
    <w:bookmarkStart w:name="637606547" w:id="5092"/>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w:t>
      </w:r>
      <w:r>
        <w:br/>
      </w:r>
      <w:r>
        <w:rPr>
          <w:rFonts w:hint="default" w:ascii="Times New Roman" w:hAnsi="Times New Roman"/>
          <w:b/>
          <w:i w:val="false"/>
          <w:color w:val="000000"/>
          <w:sz w:val="24"/>
        </w:rPr>
        <w:t>
для конденсаторов связи, отбора мощности и делительных конденсаторов</w:t>
      </w:r>
    </w:p>
    <w:bookmarkEnd w:id="5092"/>
    <w:bookmarkStart w:name="637606548" w:id="509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83</w:t>
      </w:r>
    </w:p>
    <w:bookmarkEnd w:id="5093"/>
    <w:bookmarkStart w:name="637606549" w:id="5094"/>
    <w:tbl>
      <w:tblPr>
        <w:tblW w:w="18660" w:type="auto"/>
        <w:tblCellSpacing w:w="0" w:type="auto"/>
        <w:tblBorders>
          <w:top w:val="none"/>
          <w:left w:val="none"/>
          <w:bottom w:val="none"/>
          <w:right w:val="none"/>
          <w:insideH w:val="none"/>
          <w:insideV w:val="none"/>
        </w:tblBorders>
        <w:tblLayout/>
      </w:tblPr>
      <w:tblGrid>
        <w:gridCol w:w="7655"/>
        <w:gridCol w:w="8345"/>
      </w:tblGrid>
      <w:tr>
        <w:trPr>
          <w:trHeight w:val="30" w:hRule="atLeast"/>
        </w:trPr>
        <w:tc>
          <w:tcPr>
            <w:tcW w:w="7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конденсатора</w:t>
            </w:r>
          </w:p>
        </w:tc>
        <w:tc>
          <w:tcPr>
            <w:tcW w:w="834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Испытательное напряжение элемента</w:t>
            </w:r>
          </w:p>
          <w:p>
            <w:pPr>
              <w:spacing w:after="0"/>
              <w:ind w:left="14"/>
              <w:jc w:val="left"/>
            </w:pPr>
            <w:r>
              <w:rPr>
                <w:rFonts w:hint="default" w:ascii="Times New Roman" w:hAnsi="Times New Roman"/>
                <w:b w:val="false"/>
                <w:i w:val="false"/>
                <w:color w:val="000000"/>
                <w:sz w:val="24"/>
              </w:rPr>
              <w:t>конденсатора, кВ</w:t>
            </w:r>
          </w:p>
        </w:tc>
      </w:tr>
      <w:tr>
        <w:trPr>
          <w:trHeight w:val="30" w:hRule="atLeast"/>
        </w:trPr>
        <w:tc>
          <w:tcPr>
            <w:tcW w:w="7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СМР-66/</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СМР-110/</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СМР-166/</w:t>
            </w:r>
            <w:r>
              <w:drawing>
                <wp:inline distT="0" distB="0" distL="0" distR="0">
                  <wp:extent cx="469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69900" cy="495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ОМР-15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ДМР-80, ДМРУ-80, ДМРУ-60, ДМРУ-55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ДМРУ-110</w:t>
            </w:r>
          </w:p>
        </w:tc>
        <w:tc>
          <w:tcPr>
            <w:tcW w:w="83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235,8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252</w:t>
            </w:r>
          </w:p>
        </w:tc>
      </w:tr>
    </w:tbl>
    <w:bookmarkEnd w:id="5094"/>
    <w:bookmarkStart w:name="637606550" w:id="5095"/>
    <w:p>
      <w:pPr>
        <w:spacing w:before="120" w:after="120" w:line="240"/>
        <w:ind w:left="0"/>
        <w:jc w:val="both"/>
      </w:pPr>
      <w:r>
        <w:rPr>
          <w:rFonts w:hint="default" w:ascii="Times New Roman" w:hAnsi="Times New Roman"/>
          <w:b/>
          <w:i w:val="false"/>
          <w:color w:val="000000"/>
          <w:sz w:val="24"/>
        </w:rPr>
        <w:t>Испытательное напряжение для конденсаторов продольной компенсации</w:t>
      </w:r>
    </w:p>
    <w:bookmarkEnd w:id="5095"/>
    <w:bookmarkStart w:name="637606551" w:id="509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84</w:t>
      </w:r>
    </w:p>
    <w:bookmarkEnd w:id="5096"/>
    <w:bookmarkStart w:name="637606552" w:id="5097"/>
    <w:tbl>
      <w:tblPr>
        <w:tblW w:w="18660" w:type="auto"/>
        <w:tblCellSpacing w:w="0" w:type="auto"/>
        <w:tblBorders>
          <w:top w:val="none"/>
          <w:left w:val="none"/>
          <w:bottom w:val="none"/>
          <w:right w:val="none"/>
          <w:insideH w:val="none"/>
          <w:insideV w:val="none"/>
        </w:tblBorders>
        <w:tblLayout/>
      </w:tblPr>
      <w:tblGrid>
        <w:gridCol w:w="5426"/>
        <w:gridCol w:w="5066"/>
        <w:gridCol w:w="5508"/>
      </w:tblGrid>
      <w:tr>
        <w:trPr>
          <w:trHeight w:val="30" w:hRule="atLeast"/>
        </w:trPr>
        <w:tc>
          <w:tcPr>
            <w:tcW w:w="542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конденсатора</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r>
      <w:tr>
        <w:trPr>
          <w:trHeight w:val="30" w:hRule="atLeast"/>
        </w:trPr>
        <w:tc>
          <w:tcPr>
            <w:tcW w:w="0" w:type="auto"/>
            <w:vMerge/>
            <w:tcBorders>
              <w:top w:val="nil"/>
              <w:left w:val="single" w:color="cfcfcf" w:sz="8"/>
              <w:bottom w:val="single" w:color="cfcfcf" w:sz="8"/>
              <w:right w:val="single" w:color="cfcfcf" w:sz="8"/>
            </w:tcBorders>
          </w:tcPr>
          <w:p/>
        </w:tc>
        <w:tc>
          <w:tcPr>
            <w:tcW w:w="50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промышленной частоты относительно корпуса</w:t>
            </w:r>
          </w:p>
        </w:tc>
        <w:tc>
          <w:tcPr>
            <w:tcW w:w="55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постоянного тока между обкладками конденсатора</w:t>
            </w:r>
          </w:p>
        </w:tc>
      </w:tr>
      <w:tr>
        <w:trPr>
          <w:trHeight w:val="30" w:hRule="atLeast"/>
        </w:trPr>
        <w:tc>
          <w:tcPr>
            <w:tcW w:w="54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КПМ-0,6-50-1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КПМ-0,6-25-1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КМП-1-50-1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КМП-1-50-1-1</w:t>
            </w:r>
          </w:p>
        </w:tc>
        <w:tc>
          <w:tcPr>
            <w:tcW w:w="50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55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r>
    </w:tbl>
    <w:bookmarkEnd w:id="5097"/>
    <w:bookmarkStart w:name="637606553" w:id="5098"/>
    <w:p>
      <w:pPr>
        <w:spacing w:before="120" w:after="120" w:line="240"/>
        <w:ind w:left="0"/>
        <w:jc w:val="both"/>
      </w:pPr>
      <w:r>
        <w:rPr>
          <w:rFonts w:hint="default" w:ascii="Times New Roman" w:hAnsi="Times New Roman"/>
          <w:b/>
          <w:i w:val="false"/>
          <w:color w:val="000000"/>
          <w:sz w:val="24"/>
        </w:rPr>
        <w:t>Значение сопротивлений вентильных разрядников</w:t>
      </w:r>
    </w:p>
    <w:bookmarkEnd w:id="5098"/>
    <w:bookmarkStart w:name="637606554" w:id="509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85</w:t>
      </w:r>
    </w:p>
    <w:bookmarkEnd w:id="5099"/>
    <w:bookmarkStart w:name="637606555" w:id="5100"/>
    <w:tbl>
      <w:tblPr>
        <w:tblW w:w="18660" w:type="auto"/>
        <w:tblCellSpacing w:w="0" w:type="auto"/>
        <w:tblBorders>
          <w:top w:val="none"/>
          <w:left w:val="none"/>
          <w:bottom w:val="none"/>
          <w:right w:val="none"/>
          <w:insideH w:val="none"/>
          <w:insideV w:val="none"/>
        </w:tblBorders>
        <w:tblLayout/>
      </w:tblPr>
      <w:tblGrid>
        <w:gridCol w:w="9183"/>
        <w:gridCol w:w="3185"/>
        <w:gridCol w:w="3632"/>
      </w:tblGrid>
      <w:tr>
        <w:trPr>
          <w:trHeight w:val="30" w:hRule="atLeast"/>
        </w:trPr>
        <w:tc>
          <w:tcPr>
            <w:tcW w:w="918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разрядника или элемента</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МОм</w:t>
            </w:r>
          </w:p>
        </w:tc>
      </w:tr>
      <w:tr>
        <w:trPr>
          <w:trHeight w:val="30" w:hRule="atLeast"/>
        </w:trPr>
        <w:tc>
          <w:tcPr>
            <w:tcW w:w="0" w:type="auto"/>
            <w:vMerge/>
            <w:tcBorders>
              <w:top w:val="nil"/>
              <w:left w:val="single" w:color="cfcfcf" w:sz="8"/>
              <w:bottom w:val="single" w:color="cfcfcf" w:sz="8"/>
              <w:right w:val="single" w:color="cfcfcf" w:sz="8"/>
            </w:tcBorders>
          </w:tcPr>
          <w:p/>
        </w:tc>
        <w:tc>
          <w:tcPr>
            <w:tcW w:w="31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w:t>
            </w:r>
          </w:p>
        </w:tc>
        <w:tc>
          <w:tcPr>
            <w:tcW w:w="3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более</w:t>
            </w:r>
          </w:p>
        </w:tc>
      </w:tr>
      <w:tr>
        <w:trPr>
          <w:trHeight w:val="30" w:hRule="atLeast"/>
        </w:trPr>
        <w:tc>
          <w:tcPr>
            <w:tcW w:w="9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РВМ-3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РВРД-3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РВРД-6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РВРД-10</w:t>
            </w:r>
          </w:p>
        </w:tc>
        <w:tc>
          <w:tcPr>
            <w:tcW w:w="31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770</w:t>
            </w:r>
          </w:p>
        </w:tc>
        <w:tc>
          <w:tcPr>
            <w:tcW w:w="3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5000</w:t>
            </w:r>
          </w:p>
        </w:tc>
      </w:tr>
      <w:tr>
        <w:trPr>
          <w:trHeight w:val="30" w:hRule="atLeast"/>
        </w:trPr>
        <w:tc>
          <w:tcPr>
            <w:tcW w:w="9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Элемент разрядника РВМГ</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330М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p>
        </w:tc>
        <w:tc>
          <w:tcPr>
            <w:tcW w:w="31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p>
        </w:tc>
        <w:tc>
          <w:tcPr>
            <w:tcW w:w="3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2500</w:t>
            </w:r>
          </w:p>
        </w:tc>
      </w:tr>
      <w:tr>
        <w:trPr>
          <w:trHeight w:val="30" w:hRule="atLeast"/>
        </w:trPr>
        <w:tc>
          <w:tcPr>
            <w:tcW w:w="9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Основной элемент разрядника РВМК-330, 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Вентильный элемент разрядника РВМК-330, 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Искровой элемент разрядника РВМК-330, 500</w:t>
            </w:r>
          </w:p>
        </w:tc>
        <w:tc>
          <w:tcPr>
            <w:tcW w:w="31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p>
        </w:tc>
        <w:tc>
          <w:tcPr>
            <w:tcW w:w="36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r>
    </w:tbl>
    <w:bookmarkEnd w:id="5100"/>
    <w:bookmarkStart w:name="637606556" w:id="5101"/>
    <w:p>
      <w:pPr>
        <w:spacing w:before="120" w:after="120" w:line="240"/>
        <w:ind w:left="0"/>
        <w:jc w:val="both"/>
      </w:pPr>
      <w:r>
        <w:rPr>
          <w:rFonts w:hint="default" w:ascii="Times New Roman" w:hAnsi="Times New Roman"/>
          <w:b/>
          <w:i w:val="false"/>
          <w:color w:val="000000"/>
          <w:sz w:val="24"/>
        </w:rPr>
        <w:t>Допустимые токи проводимости вентильных разрядников при</w:t>
      </w:r>
      <w:r>
        <w:br/>
      </w:r>
      <w:r>
        <w:rPr>
          <w:rFonts w:hint="default" w:ascii="Times New Roman" w:hAnsi="Times New Roman"/>
          <w:b/>
          <w:i w:val="false"/>
          <w:color w:val="000000"/>
          <w:sz w:val="24"/>
        </w:rPr>
        <w:t>
выпрямленном напряжении</w:t>
      </w:r>
    </w:p>
    <w:bookmarkEnd w:id="5101"/>
    <w:bookmarkStart w:name="637606557" w:id="510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86</w:t>
      </w:r>
    </w:p>
    <w:bookmarkEnd w:id="5102"/>
    <w:bookmarkStart w:name="637606558" w:id="5103"/>
    <w:tbl>
      <w:tblPr>
        <w:tblW w:w="18660" w:type="auto"/>
        <w:tblCellSpacing w:w="0" w:type="auto"/>
        <w:tblBorders>
          <w:top w:val="none"/>
          <w:left w:val="none"/>
          <w:bottom w:val="none"/>
          <w:right w:val="none"/>
          <w:insideH w:val="none"/>
          <w:insideV w:val="none"/>
        </w:tblBorders>
        <w:tblLayout/>
      </w:tblPr>
      <w:tblGrid>
        <w:gridCol w:w="6878"/>
        <w:gridCol w:w="3010"/>
        <w:gridCol w:w="2815"/>
        <w:gridCol w:w="3297"/>
      </w:tblGrid>
      <w:tr>
        <w:trPr>
          <w:trHeight w:val="30" w:hRule="atLeast"/>
        </w:trPr>
        <w:tc>
          <w:tcPr>
            <w:tcW w:w="687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разрядника или элемента</w:t>
            </w:r>
          </w:p>
        </w:tc>
        <w:tc>
          <w:tcPr>
            <w:tcW w:w="301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выпрямленное напряжение,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проводимости при температуре разрядника 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мкА</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w:t>
            </w:r>
          </w:p>
        </w:tc>
        <w:tc>
          <w:tcPr>
            <w:tcW w:w="3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более</w:t>
            </w:r>
          </w:p>
        </w:tc>
      </w:tr>
      <w:tr>
        <w:trPr>
          <w:trHeight w:val="30" w:hRule="atLeast"/>
        </w:trPr>
        <w:tc>
          <w:tcPr>
            <w:tcW w:w="68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РВС-15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РВС-33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РВС-35*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РВЭ-25М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РВМЭ-25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РВРД-3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РБРД-6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РВРД-10</w:t>
            </w:r>
          </w:p>
        </w:tc>
        <w:tc>
          <w:tcPr>
            <w:tcW w:w="30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c>
          <w:tcPr>
            <w:tcW w:w="2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3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p>
        </w:tc>
      </w:tr>
      <w:tr>
        <w:trPr>
          <w:trHeight w:val="30" w:hRule="atLeast"/>
        </w:trPr>
        <w:tc>
          <w:tcPr>
            <w:tcW w:w="68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Элемент разрядника РВМГ-110М, 150М, 220М, 330М, 400, 500</w:t>
            </w:r>
          </w:p>
        </w:tc>
        <w:tc>
          <w:tcPr>
            <w:tcW w:w="30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3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1350</w:t>
            </w:r>
          </w:p>
        </w:tc>
      </w:tr>
      <w:tr>
        <w:trPr>
          <w:trHeight w:val="30" w:hRule="atLeast"/>
        </w:trPr>
        <w:tc>
          <w:tcPr>
            <w:tcW w:w="68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Основной элемент разрядника РВМК-330, 500</w:t>
            </w:r>
          </w:p>
        </w:tc>
        <w:tc>
          <w:tcPr>
            <w:tcW w:w="30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2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3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1350</w:t>
            </w:r>
          </w:p>
        </w:tc>
      </w:tr>
      <w:tr>
        <w:trPr>
          <w:trHeight w:val="30" w:hRule="atLeast"/>
        </w:trPr>
        <w:tc>
          <w:tcPr>
            <w:tcW w:w="68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Искровой элемент разрядника РВМК-330, 500</w:t>
            </w:r>
          </w:p>
        </w:tc>
        <w:tc>
          <w:tcPr>
            <w:tcW w:w="30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w:t>
            </w:r>
          </w:p>
        </w:tc>
        <w:tc>
          <w:tcPr>
            <w:tcW w:w="2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c>
          <w:tcPr>
            <w:tcW w:w="3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1300</w:t>
            </w:r>
          </w:p>
        </w:tc>
      </w:tr>
    </w:tbl>
    <w:bookmarkEnd w:id="5103"/>
    <w:bookmarkStart w:name="637606559" w:id="5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Разрядники для сетей с изолированной нейтралью и компенсацией емкостного тока замыкания на землю, выпущенные после 1975 г.</w:t>
      </w:r>
    </w:p>
    <w:bookmarkEnd w:id="5104"/>
    <w:bookmarkStart w:name="637606560" w:id="5105"/>
    <w:p>
      <w:pPr>
        <w:spacing w:before="120" w:after="120" w:line="240"/>
        <w:ind w:left="0"/>
        <w:jc w:val="both"/>
      </w:pPr>
      <w:r>
        <w:rPr>
          <w:rFonts w:hint="default" w:ascii="Times New Roman" w:hAnsi="Times New Roman"/>
          <w:b w:val="false"/>
          <w:i w:val="false"/>
          <w:color w:val="000000"/>
          <w:sz w:val="24"/>
        </w:rPr>
        <w:t>Примечание. Для приведения токов проводимости разрядников к температуре + 20</w:t>
      </w:r>
      <w:r>
        <w:rPr>
          <w:rFonts w:hint="default" w:ascii="Times New Roman" w:hAnsi="Times New Roman"/>
          <w:b w:val="false"/>
          <w:i w:val="false"/>
          <w:color w:val="000000"/>
          <w:vertAlign w:val="superscript"/>
        </w:rPr>
        <w:t>о</w:t>
      </w:r>
      <w:r>
        <w:rPr>
          <w:rFonts w:hint="default" w:ascii="Times New Roman" w:hAnsi="Times New Roman"/>
          <w:b w:val="false"/>
          <w:i w:val="false"/>
          <w:color w:val="000000"/>
          <w:sz w:val="24"/>
        </w:rPr>
        <w:t xml:space="preserve"> С следует внести поправку, равную 3 % на каждые 10 градусов отклонения (при температуре больше 20</w:t>
      </w:r>
      <w:r>
        <w:rPr>
          <w:rFonts w:hint="default" w:ascii="Times New Roman" w:hAnsi="Times New Roman"/>
          <w:b w:val="false"/>
          <w:i w:val="false"/>
          <w:color w:val="000000"/>
          <w:vertAlign w:val="superscript"/>
        </w:rPr>
        <w:t>о</w:t>
      </w:r>
      <w:r>
        <w:rPr>
          <w:rFonts w:hint="default" w:ascii="Times New Roman" w:hAnsi="Times New Roman"/>
          <w:b w:val="false"/>
          <w:i w:val="false"/>
          <w:color w:val="000000"/>
          <w:sz w:val="24"/>
        </w:rPr>
        <w:t xml:space="preserve"> С поправка отрицательная).</w:t>
      </w:r>
    </w:p>
    <w:bookmarkEnd w:id="5105"/>
    <w:bookmarkStart w:name="637606561" w:id="5106"/>
    <w:p>
      <w:pPr>
        <w:spacing w:before="120" w:after="120" w:line="240"/>
        <w:ind w:left="0"/>
        <w:jc w:val="both"/>
      </w:pPr>
      <w:r>
        <w:rPr>
          <w:rFonts w:hint="default" w:ascii="Times New Roman" w:hAnsi="Times New Roman"/>
          <w:b/>
          <w:i w:val="false"/>
          <w:color w:val="000000"/>
          <w:sz w:val="24"/>
        </w:rPr>
        <w:t>Токи проводимости ограничителей перенапряжений при переменном напряжении частоты 50 Гц</w:t>
      </w:r>
    </w:p>
    <w:bookmarkEnd w:id="5106"/>
    <w:bookmarkStart w:name="637606562" w:id="510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87</w:t>
      </w:r>
    </w:p>
    <w:bookmarkEnd w:id="5107"/>
    <w:bookmarkStart w:name="637606563" w:id="5108"/>
    <w:tbl>
      <w:tblPr>
        <w:tblW w:w="18660" w:type="auto"/>
        <w:tblCellSpacing w:w="0" w:type="auto"/>
        <w:tblBorders>
          <w:top w:val="none"/>
          <w:left w:val="none"/>
          <w:bottom w:val="none"/>
          <w:right w:val="none"/>
          <w:insideH w:val="none"/>
          <w:insideV w:val="none"/>
        </w:tblBorders>
        <w:tblLayout/>
      </w:tblPr>
      <w:tblGrid>
        <w:gridCol w:w="4123"/>
        <w:gridCol w:w="3269"/>
        <w:gridCol w:w="4071"/>
        <w:gridCol w:w="4537"/>
      </w:tblGrid>
      <w:tr>
        <w:trPr>
          <w:trHeight w:val="30" w:hRule="atLeast"/>
        </w:trPr>
        <w:tc>
          <w:tcPr>
            <w:tcW w:w="412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ограничителя перенапряжений</w:t>
            </w:r>
          </w:p>
        </w:tc>
        <w:tc>
          <w:tcPr>
            <w:tcW w:w="3269" w:type="dxa"/>
            <w:vMerge w:val="restart"/>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Наибольшее рабочее напряжение частоты</w:t>
            </w:r>
          </w:p>
          <w:p>
            <w:pPr>
              <w:spacing w:after="0"/>
              <w:ind w:left="14"/>
              <w:jc w:val="left"/>
            </w:pPr>
            <w:r>
              <w:rPr>
                <w:rFonts w:hint="default" w:ascii="Times New Roman" w:hAnsi="Times New Roman"/>
                <w:b w:val="false"/>
                <w:i w:val="false"/>
                <w:color w:val="000000"/>
                <w:sz w:val="24"/>
              </w:rPr>
              <w:t>50 Гц,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проводимости при температуре 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мА</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40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Значение, при котором необходимо ставить вопрос о замене ограничителя</w:t>
            </w:r>
          </w:p>
        </w:tc>
        <w:tc>
          <w:tcPr>
            <w:tcW w:w="4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Предельное значение, при котором ограничитель должен быть выведен из работы</w:t>
            </w:r>
          </w:p>
        </w:tc>
      </w:tr>
      <w:tr>
        <w:trPr>
          <w:trHeight w:val="30" w:hRule="atLeast"/>
        </w:trPr>
        <w:tc>
          <w:tcPr>
            <w:tcW w:w="41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ОПН-110У1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ОПН-1-110ХЛ4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ОПН-110ПН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ОПН-150У1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ОПН-150ПН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ОПН-220У1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 1-220ХЛ4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ОПН-220ПН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ОПН-330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ОПН-330ПН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ОПН-500У1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ОПН-500ПН</w:t>
            </w:r>
          </w:p>
        </w:tc>
        <w:tc>
          <w:tcPr>
            <w:tcW w:w="32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303</w:t>
            </w:r>
          </w:p>
        </w:tc>
        <w:tc>
          <w:tcPr>
            <w:tcW w:w="40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w:t>
            </w:r>
          </w:p>
        </w:tc>
        <w:tc>
          <w:tcPr>
            <w:tcW w:w="4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w:t>
            </w:r>
          </w:p>
        </w:tc>
      </w:tr>
    </w:tbl>
    <w:bookmarkEnd w:id="5108"/>
    <w:bookmarkStart w:name="637606564" w:id="5109"/>
    <w:p>
      <w:pPr>
        <w:spacing w:before="120" w:after="120" w:line="240"/>
        <w:ind w:left="0"/>
        <w:jc w:val="both"/>
      </w:pPr>
      <w:r>
        <w:rPr>
          <w:rFonts w:hint="default" w:ascii="Times New Roman" w:hAnsi="Times New Roman"/>
          <w:b/>
          <w:i w:val="false"/>
          <w:color w:val="000000"/>
          <w:sz w:val="24"/>
        </w:rPr>
        <w:t>Пробивное напряжение искровых промежутков элементов вентильных разрядников при промышленной частоте</w:t>
      </w:r>
    </w:p>
    <w:bookmarkEnd w:id="5109"/>
    <w:bookmarkStart w:name="637606565" w:id="511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88</w:t>
      </w:r>
    </w:p>
    <w:bookmarkEnd w:id="5110"/>
    <w:bookmarkStart w:name="637606566" w:id="5111"/>
    <w:tbl>
      <w:tblPr>
        <w:tblW w:w="18660" w:type="auto"/>
        <w:tblCellSpacing w:w="0" w:type="auto"/>
        <w:tblBorders>
          <w:top w:val="none"/>
          <w:left w:val="none"/>
          <w:bottom w:val="none"/>
          <w:right w:val="none"/>
          <w:insideH w:val="none"/>
          <w:insideV w:val="none"/>
        </w:tblBorders>
        <w:tblLayout/>
      </w:tblPr>
      <w:tblGrid>
        <w:gridCol w:w="12302"/>
        <w:gridCol w:w="3698"/>
      </w:tblGrid>
      <w:tr>
        <w:trPr>
          <w:trHeight w:val="30" w:hRule="atLeast"/>
        </w:trPr>
        <w:tc>
          <w:tcPr>
            <w:tcW w:w="12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элемента</w:t>
            </w:r>
          </w:p>
        </w:tc>
        <w:tc>
          <w:tcPr>
            <w:tcW w:w="3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Пробивное напряжение, кВ</w:t>
            </w:r>
          </w:p>
        </w:tc>
      </w:tr>
      <w:tr>
        <w:trPr>
          <w:trHeight w:val="30" w:hRule="atLeast"/>
        </w:trPr>
        <w:tc>
          <w:tcPr>
            <w:tcW w:w="12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Элемент разрядников РВМГ-110, РВМГ-150, РВМГ-220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Элемент разрядников РВМГ-330, РВМГ-500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Основной элемент разрядников РВМК-330, РВМК-500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Искровой элемент разрядников РВМК-330, РВМК-500, РВМК-550П</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Основной элемент разрядников РВМК-500П</w:t>
            </w:r>
          </w:p>
        </w:tc>
        <w:tc>
          <w:tcPr>
            <w:tcW w:w="3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59–73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40–53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43–54</w:t>
            </w:r>
          </w:p>
        </w:tc>
      </w:tr>
    </w:tbl>
    <w:bookmarkEnd w:id="5111"/>
    <w:bookmarkStart w:name="637606567" w:id="5112"/>
    <w:p>
      <w:pPr>
        <w:spacing w:before="120" w:after="120" w:line="240"/>
        <w:ind w:left="0"/>
        <w:jc w:val="both"/>
      </w:pPr>
      <w:r>
        <w:rPr>
          <w:rFonts w:hint="default" w:ascii="Times New Roman" w:hAnsi="Times New Roman"/>
          <w:b/>
          <w:i w:val="false"/>
          <w:color w:val="000000"/>
          <w:sz w:val="24"/>
        </w:rPr>
        <w:t>Наибольший допустимый тангенс угла диэлектрических потерь основной изоляции и изоляции измерительного конденсатора вводов и проходных изоляторов при температуре +20</w:t>
      </w:r>
      <w:r>
        <w:rPr>
          <w:rFonts w:hint="default" w:ascii="Times New Roman" w:hAnsi="Times New Roman"/>
          <w:b/>
          <w:i w:val="false"/>
          <w:color w:val="000000"/>
          <w:vertAlign w:val="superscript"/>
        </w:rPr>
        <w:t>о</w:t>
      </w:r>
      <w:r>
        <w:rPr>
          <w:rFonts w:hint="default" w:ascii="Times New Roman" w:hAnsi="Times New Roman"/>
          <w:b/>
          <w:i w:val="false"/>
          <w:color w:val="000000"/>
          <w:sz w:val="24"/>
        </w:rPr>
        <w:t xml:space="preserve"> С</w:t>
      </w:r>
    </w:p>
    <w:bookmarkEnd w:id="5112"/>
    <w:bookmarkStart w:name="637606568" w:id="511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89</w:t>
      </w:r>
    </w:p>
    <w:bookmarkEnd w:id="5113"/>
    <w:bookmarkStart w:name="637606569" w:id="5114"/>
    <w:tbl>
      <w:tblPr>
        <w:tblW w:w="18660" w:type="auto"/>
        <w:tblCellSpacing w:w="0" w:type="auto"/>
        <w:tblBorders>
          <w:top w:val="none"/>
          <w:left w:val="none"/>
          <w:bottom w:val="none"/>
          <w:right w:val="none"/>
          <w:insideH w:val="none"/>
          <w:insideV w:val="none"/>
        </w:tblBorders>
        <w:tblLayout/>
      </w:tblPr>
      <w:tblGrid>
        <w:gridCol w:w="6887"/>
        <w:gridCol w:w="1468"/>
        <w:gridCol w:w="1500"/>
        <w:gridCol w:w="1740"/>
        <w:gridCol w:w="1773"/>
        <w:gridCol w:w="1436"/>
        <w:gridCol w:w="1196"/>
      </w:tblGrid>
      <w:tr>
        <w:trPr>
          <w:trHeight w:val="30" w:hRule="atLeast"/>
        </w:trPr>
        <w:tc>
          <w:tcPr>
            <w:tcW w:w="688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объекта испытания и вид основной изоляции</w:t>
            </w:r>
          </w:p>
        </w:tc>
        <w:tc>
          <w:tcPr>
            <w:tcW w:w="0" w:type="auto"/>
            <w:gridSpan w:val="6"/>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Тангенс угла диэлектрических потерь, %,</w:t>
            </w:r>
          </w:p>
          <w:p>
            <w:pPr>
              <w:spacing w:after="0"/>
              <w:ind w:left="14"/>
              <w:jc w:val="left"/>
            </w:pPr>
            <w:r>
              <w:rPr>
                <w:rFonts w:hint="default" w:ascii="Times New Roman" w:hAnsi="Times New Roman"/>
                <w:b w:val="false"/>
                <w:i w:val="false"/>
                <w:color w:val="000000"/>
                <w:sz w:val="24"/>
              </w:rPr>
              <w:t>при номинальном напряжении,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3–15</w:t>
            </w:r>
          </w:p>
        </w:tc>
        <w:tc>
          <w:tcPr>
            <w:tcW w:w="1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20–35</w:t>
            </w:r>
          </w:p>
        </w:tc>
        <w:tc>
          <w:tcPr>
            <w:tcW w:w="17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60–110</w:t>
            </w:r>
          </w:p>
        </w:tc>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150–220</w:t>
            </w:r>
          </w:p>
        </w:tc>
        <w:tc>
          <w:tcPr>
            <w:tcW w:w="14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11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68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Маслонаполненные вводы и проходные изоляторы с изоляцией:</w:t>
            </w:r>
          </w:p>
        </w:tc>
        <w:tc>
          <w:tcPr>
            <w:tcW w:w="146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50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4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3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9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68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маслобарьерной</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17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4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1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68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бумажно-масляной *</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7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w:t>
            </w:r>
          </w:p>
        </w:tc>
        <w:tc>
          <w:tcPr>
            <w:tcW w:w="14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11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r>
        <w:trPr>
          <w:trHeight w:val="30" w:hRule="atLeast"/>
        </w:trPr>
        <w:tc>
          <w:tcPr>
            <w:tcW w:w="68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Вводы и проходные изоляторы с бакелитовой изоляцией (в том числе маслонаполненные)</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1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17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7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4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11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5114"/>
    <w:bookmarkStart w:name="637606570" w:id="5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2,5 %.</w:t>
      </w:r>
    </w:p>
    <w:bookmarkEnd w:id="5115"/>
    <w:bookmarkStart w:name="637606571" w:id="5116"/>
    <w:p>
      <w:pPr>
        <w:spacing w:before="120" w:after="120" w:line="240"/>
        <w:ind w:left="0"/>
        <w:jc w:val="both"/>
      </w:pPr>
      <w:r>
        <w:rPr>
          <w:rFonts w:hint="default" w:ascii="Times New Roman" w:hAnsi="Times New Roman"/>
          <w:b/>
          <w:i w:val="false"/>
          <w:color w:val="000000"/>
          <w:sz w:val="24"/>
        </w:rPr>
        <w:t>Испытательное напряжение промышленной частоты вводов и проходных изоляторов</w:t>
      </w:r>
    </w:p>
    <w:bookmarkEnd w:id="5116"/>
    <w:bookmarkStart w:name="637606572" w:id="511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90</w:t>
      </w:r>
    </w:p>
    <w:bookmarkEnd w:id="5117"/>
    <w:bookmarkStart w:name="637606573" w:id="5118"/>
    <w:tbl>
      <w:tblPr>
        <w:tblW w:w="18660" w:type="auto"/>
        <w:tblCellSpacing w:w="0" w:type="auto"/>
        <w:tblBorders>
          <w:top w:val="none"/>
          <w:left w:val="none"/>
          <w:bottom w:val="none"/>
          <w:right w:val="none"/>
          <w:insideH w:val="none"/>
          <w:insideV w:val="none"/>
        </w:tblBorders>
        <w:tblLayout/>
      </w:tblPr>
      <w:tblGrid>
        <w:gridCol w:w="3014"/>
        <w:gridCol w:w="3980"/>
        <w:gridCol w:w="5012"/>
        <w:gridCol w:w="3994"/>
      </w:tblGrid>
      <w:tr>
        <w:trPr>
          <w:trHeight w:val="30" w:hRule="atLeast"/>
        </w:trPr>
        <w:tc>
          <w:tcPr>
            <w:tcW w:w="301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r>
      <w:tr>
        <w:trPr>
          <w:trHeight w:val="30" w:hRule="atLeast"/>
        </w:trPr>
        <w:tc>
          <w:tcPr>
            <w:tcW w:w="0" w:type="auto"/>
            <w:vMerge/>
            <w:tcBorders>
              <w:top w:val="nil"/>
              <w:left w:val="single" w:color="cfcfcf" w:sz="8"/>
              <w:bottom w:val="single" w:color="cfcfcf" w:sz="8"/>
              <w:right w:val="single" w:color="cfcfcf" w:sz="8"/>
            </w:tcBorders>
          </w:tcP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Керамические изоляторы, испытываемые отдельно</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Аппаратные вводы и проходные изоляторы с основной керамической или жидкой изоляцией</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Аппаратные вводы и проходные изоляторы с основной бакелитовой изоляцией</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21,6</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37,8</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58,5</w:t>
            </w:r>
          </w:p>
        </w:tc>
      </w:tr>
      <w:tr>
        <w:trPr>
          <w:trHeight w:val="30" w:hRule="atLeast"/>
        </w:trPr>
        <w:tc>
          <w:tcPr>
            <w:tcW w:w="3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39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50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c>
          <w:tcPr>
            <w:tcW w:w="399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85,5</w:t>
            </w:r>
          </w:p>
        </w:tc>
      </w:tr>
    </w:tbl>
    <w:bookmarkEnd w:id="5118"/>
    <w:bookmarkStart w:name="637606574" w:id="5119"/>
    <w:p>
      <w:pPr>
        <w:spacing w:before="120" w:after="120" w:line="240"/>
        <w:ind w:left="0"/>
        <w:jc w:val="both"/>
      </w:pPr>
      <w:r>
        <w:rPr>
          <w:rFonts w:hint="default" w:ascii="Times New Roman" w:hAnsi="Times New Roman"/>
          <w:b/>
          <w:i w:val="false"/>
          <w:color w:val="000000"/>
          <w:sz w:val="24"/>
        </w:rPr>
        <w:t>Наибольший допустимый тангенс угла диэлектрических</w:t>
      </w:r>
      <w:r>
        <w:br/>
      </w:r>
      <w:r>
        <w:rPr>
          <w:rFonts w:hint="default" w:ascii="Times New Roman" w:hAnsi="Times New Roman"/>
          <w:b/>
          <w:i w:val="false"/>
          <w:color w:val="000000"/>
          <w:sz w:val="24"/>
        </w:rPr>
        <w:t>
потерь масла в маслонаполенных вводах при температуре +70</w:t>
      </w:r>
      <w:r>
        <w:rPr>
          <w:rFonts w:hint="default" w:ascii="Times New Roman" w:hAnsi="Times New Roman"/>
          <w:b/>
          <w:i w:val="false"/>
          <w:color w:val="000000"/>
          <w:vertAlign w:val="superscript"/>
        </w:rPr>
        <w:t>о</w:t>
      </w:r>
      <w:r>
        <w:rPr>
          <w:rFonts w:hint="default" w:ascii="Times New Roman" w:hAnsi="Times New Roman"/>
          <w:b/>
          <w:i w:val="false"/>
          <w:color w:val="000000"/>
          <w:sz w:val="24"/>
        </w:rPr>
        <w:t xml:space="preserve"> С</w:t>
      </w:r>
    </w:p>
    <w:bookmarkEnd w:id="5119"/>
    <w:bookmarkStart w:name="637606575" w:id="512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91</w:t>
      </w:r>
    </w:p>
    <w:bookmarkEnd w:id="5120"/>
    <w:bookmarkStart w:name="637606576" w:id="5121"/>
    <w:tbl>
      <w:tblPr>
        <w:tblW w:w="18660" w:type="auto"/>
        <w:tblCellSpacing w:w="0" w:type="auto"/>
        <w:tblBorders>
          <w:top w:val="none"/>
          <w:left w:val="none"/>
          <w:bottom w:val="none"/>
          <w:right w:val="none"/>
          <w:insideH w:val="none"/>
          <w:insideV w:val="none"/>
        </w:tblBorders>
        <w:tblLayout/>
      </w:tblPr>
      <w:tblGrid>
        <w:gridCol w:w="5256"/>
        <w:gridCol w:w="2585"/>
        <w:gridCol w:w="2563"/>
        <w:gridCol w:w="2585"/>
        <w:gridCol w:w="3011"/>
      </w:tblGrid>
      <w:tr>
        <w:trPr>
          <w:trHeight w:val="30" w:hRule="atLeast"/>
        </w:trPr>
        <w:tc>
          <w:tcPr>
            <w:tcW w:w="525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Конструкция ввода</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Тангенс угла диэлектрических потерь, %, для напряжения вводов,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110–220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330–500</w:t>
            </w:r>
          </w:p>
        </w:tc>
      </w:tr>
      <w:tr>
        <w:trPr>
          <w:trHeight w:val="30" w:hRule="atLeast"/>
        </w:trPr>
        <w:tc>
          <w:tcPr>
            <w:tcW w:w="0" w:type="auto"/>
            <w:vMerge/>
            <w:tcBorders>
              <w:top w:val="nil"/>
              <w:left w:val="single" w:color="cfcfcf" w:sz="8"/>
              <w:bottom w:val="single" w:color="cfcfcf" w:sz="8"/>
              <w:right w:val="single" w:color="cfcfcf" w:sz="8"/>
            </w:tcBorders>
          </w:tcP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 марки Т-750</w:t>
            </w:r>
          </w:p>
        </w:tc>
        <w:tc>
          <w:tcPr>
            <w:tcW w:w="25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 прочих марок</w:t>
            </w:r>
          </w:p>
        </w:tc>
        <w:tc>
          <w:tcPr>
            <w:tcW w:w="25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 марки Т-750</w:t>
            </w:r>
          </w:p>
        </w:tc>
        <w:tc>
          <w:tcPr>
            <w:tcW w:w="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 прочих марок</w:t>
            </w:r>
          </w:p>
        </w:tc>
      </w:tr>
      <w:tr>
        <w:trPr>
          <w:trHeight w:val="30" w:hRule="atLeast"/>
        </w:trPr>
        <w:tc>
          <w:tcPr>
            <w:tcW w:w="52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Маслобарьерный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Бумажно-масляный: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негерметичный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герметичный</w:t>
            </w:r>
          </w:p>
        </w:tc>
        <w:tc>
          <w:tcPr>
            <w:tcW w:w="258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w:t>
            </w:r>
          </w:p>
        </w:tc>
        <w:tc>
          <w:tcPr>
            <w:tcW w:w="256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w:t>
            </w:r>
          </w:p>
          <w:p>
            <w:pPr>
              <w:spacing w:after="0"/>
              <w:ind w:left="14"/>
              <w:jc w:val="left"/>
            </w:pPr>
            <w:r>
              <w:rPr>
                <w:rFonts w:hint="default" w:ascii="Times New Roman" w:hAnsi="Times New Roman"/>
                <w:b w:val="false"/>
                <w:i w:val="false"/>
                <w:color w:val="000000"/>
                <w:sz w:val="24"/>
              </w:rPr>
              <w:t>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w:t>
            </w:r>
          </w:p>
        </w:tc>
        <w:tc>
          <w:tcPr>
            <w:tcW w:w="258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w:t>
            </w:r>
          </w:p>
        </w:tc>
        <w:tc>
          <w:tcPr>
            <w:tcW w:w="3011"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w:t>
            </w:r>
          </w:p>
          <w:p>
            <w:pPr>
              <w:spacing w:after="0"/>
              <w:ind w:left="14"/>
              <w:jc w:val="left"/>
            </w:pPr>
            <w:r>
              <w:rPr>
                <w:rFonts w:hint="default" w:ascii="Times New Roman" w:hAnsi="Times New Roman"/>
                <w:b w:val="false"/>
                <w:i w:val="false"/>
                <w:color w:val="000000"/>
                <w:sz w:val="24"/>
              </w:rPr>
              <w:t>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w:t>
            </w:r>
          </w:p>
        </w:tc>
      </w:tr>
    </w:tbl>
    <w:bookmarkEnd w:id="5121"/>
    <w:bookmarkStart w:name="637606577" w:id="5122"/>
    <w:p>
      <w:pPr>
        <w:spacing w:before="120" w:after="120" w:line="240"/>
        <w:ind w:left="0"/>
        <w:jc w:val="both"/>
      </w:pPr>
      <w:r>
        <w:rPr>
          <w:rFonts w:hint="default" w:ascii="Times New Roman" w:hAnsi="Times New Roman"/>
          <w:b/>
          <w:i w:val="false"/>
          <w:color w:val="000000"/>
          <w:sz w:val="24"/>
        </w:rPr>
        <w:t>Испытательное напряжение опорных одноэлементных изоляторов</w:t>
      </w:r>
    </w:p>
    <w:bookmarkEnd w:id="5122"/>
    <w:bookmarkStart w:name="637606578" w:id="512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92</w:t>
      </w:r>
    </w:p>
    <w:bookmarkEnd w:id="5123"/>
    <w:bookmarkStart w:name="637606579" w:id="5124"/>
    <w:tbl>
      <w:tblPr>
        <w:tblW w:w="18660" w:type="auto"/>
        <w:tblCellSpacing w:w="0" w:type="auto"/>
        <w:tblBorders>
          <w:top w:val="none"/>
          <w:left w:val="none"/>
          <w:bottom w:val="none"/>
          <w:right w:val="none"/>
          <w:insideH w:val="none"/>
          <w:insideV w:val="none"/>
        </w:tblBorders>
        <w:tblLayout/>
      </w:tblPr>
      <w:tblGrid>
        <w:gridCol w:w="6449"/>
        <w:gridCol w:w="1590"/>
        <w:gridCol w:w="1590"/>
        <w:gridCol w:w="1590"/>
        <w:gridCol w:w="1590"/>
        <w:gridCol w:w="1590"/>
        <w:gridCol w:w="1601"/>
      </w:tblGrid>
      <w:tr>
        <w:trPr>
          <w:trHeight w:val="30" w:hRule="atLeast"/>
        </w:trPr>
        <w:tc>
          <w:tcPr>
            <w:tcW w:w="644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Испытуемые изоляторы</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 для номинального напряжения электроустановки, кВ</w:t>
            </w:r>
          </w:p>
        </w:tc>
      </w:tr>
      <w:tr>
        <w:trPr>
          <w:trHeight w:val="30" w:hRule="atLeast"/>
        </w:trPr>
        <w:tc>
          <w:tcPr>
            <w:tcW w:w="0" w:type="auto"/>
            <w:vMerge/>
            <w:tcBorders>
              <w:top w:val="nil"/>
              <w:left w:val="single" w:color="cfcfcf" w:sz="8"/>
              <w:bottom w:val="single" w:color="cfcfcf" w:sz="8"/>
              <w:right w:val="single" w:color="cfcfcf" w:sz="8"/>
            </w:tcBorders>
          </w:tcP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64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Изоляторы, испытуемые отдельно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Изоляторы, установленные в цепях шин и аппаратов</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55</w:t>
            </w:r>
          </w:p>
        </w:tc>
        <w:tc>
          <w:tcPr>
            <w:tcW w:w="1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r>
    </w:tbl>
    <w:bookmarkEnd w:id="5124"/>
    <w:bookmarkStart w:name="637606580" w:id="5125"/>
    <w:p>
      <w:pPr>
        <w:spacing w:before="120" w:after="120" w:line="240"/>
        <w:ind w:left="0"/>
        <w:jc w:val="both"/>
      </w:pPr>
      <w:r>
        <w:rPr>
          <w:rFonts w:hint="default" w:ascii="Times New Roman" w:hAnsi="Times New Roman"/>
          <w:b/>
          <w:i w:val="false"/>
          <w:color w:val="000000"/>
          <w:sz w:val="24"/>
        </w:rPr>
        <w:t>Предельные допустимые значения показателей качества трансформаторного масла</w:t>
      </w:r>
    </w:p>
    <w:bookmarkEnd w:id="5125"/>
    <w:bookmarkStart w:name="637606581" w:id="512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93</w:t>
      </w:r>
    </w:p>
    <w:bookmarkEnd w:id="5126"/>
    <w:bookmarkStart w:name="637606582" w:id="5127"/>
    <w:tbl>
      <w:tblPr>
        <w:tblW w:w="0" w:type="auto"/>
        <w:tblCellSpacing w:w="0" w:type="auto"/>
        <w:tblBorders>
          <w:top w:val="none"/>
          <w:left w:val="none"/>
          <w:bottom w:val="none"/>
          <w:right w:val="none"/>
          <w:insideH w:val="none"/>
          <w:insideV w:val="none"/>
        </w:tblBorders>
        <w:tblLayout/>
      </w:tblPr>
      <w:tblGrid>
        <w:gridCol w:w="2292"/>
        <w:gridCol w:w="1144"/>
        <w:gridCol w:w="984"/>
        <w:gridCol w:w="1088"/>
        <w:gridCol w:w="1144"/>
        <w:gridCol w:w="984"/>
        <w:gridCol w:w="1304"/>
        <w:gridCol w:w="572"/>
        <w:gridCol w:w="627"/>
        <w:gridCol w:w="984"/>
        <w:gridCol w:w="1088"/>
        <w:gridCol w:w="1253"/>
        <w:gridCol w:w="1232"/>
        <w:gridCol w:w="1304"/>
      </w:tblGrid>
      <w:tr>
        <w:trPr>
          <w:trHeight w:val="30" w:hRule="atLeast"/>
        </w:trPr>
        <w:tc>
          <w:tcPr>
            <w:tcW w:w="229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Показатель качества масла и номер стандарта на метод испытания</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Свежее сухое масло перед заливкой в оборудование</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Масло непосредственно после заливки в оборудование</w:t>
            </w:r>
          </w:p>
        </w:tc>
      </w:tr>
      <w:tr>
        <w:trPr>
          <w:trHeight w:val="30" w:hRule="atLeast"/>
        </w:trPr>
        <w:tc>
          <w:tcPr>
            <w:tcW w:w="0" w:type="auto"/>
            <w:vMerge/>
            <w:tcBorders>
              <w:top w:val="nil"/>
              <w:left w:val="single" w:color="cfcfcf" w:sz="8"/>
              <w:bottom w:val="single" w:color="cfcfcf" w:sz="8"/>
              <w:right w:val="single" w:color="cfcfcf" w:sz="8"/>
            </w:tcBorders>
          </w:tcP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ГК ТУ38. 101 1025-85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Т-1500 ГОСТ 982-80</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Т-500У ТУ38.401</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ТКп. 38.401 5949-92</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ТКп.38. 401 830-90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ТСп ГОСТ 10121-76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ГК ТУ38.101 1025-85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Т-1500 ГОСТ 982-80</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Т-500У ТУ38.401</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ТКп.38.401 5949-92</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ТКп.38.401 830-90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ТСп ГОСТ 10121-76</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229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Пробивное напряжение по ГОСТ 6581-75, (кВ) не менее, электрооборудование: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15 кВ включительно</w:t>
            </w: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5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35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включительно</w:t>
            </w: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60 кВ до 110 кВ</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220 кВ до 500 кВ</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Содержание механических примесей ГОСТ 6370-83 и РТМ 17216-71 электрооборудование до 220 кВ включительно</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свыше 220 кВ, % не более</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0,0008</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0,0008</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Кислотное число ГОСТ 5985-79, мг КОН на 1 г масла, не более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0,02</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 Водорастворимые кислоты и щелочи по ГОСТ 6307-75</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отсутствие</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 Температура вспышки в закрытом тигле по ГОСТ 6356-75,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не ниже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 Температура застывания по ГОСТ 20287-91,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не выше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5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 Натровая проба, оптическая плотность по ГОСТ 19296-73 в баллах, не более</w:t>
            </w: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5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 Прозрачность при 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на данное масло</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прозрачно</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прозрачно</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 Общая стабильность ГОСТ 981-75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 количество осадков после окисления, % не более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0,01</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тс</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5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кислотное число окисленного масла, мг КОН на 1 г масла, не более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5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44" w:type="dxa"/>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4"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98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Тангенс угла диэлектрических потерь ГОСТ 6581-75, %, не более, при 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 Влагосодержание ГОСТ 7822-75, % массы (г/т), не более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 трансформаторы со спец. защитой, герметические, маслонаполненные вводы, измерительные трансформаторы</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0,001 % (10 г/т)</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0,001 % (10 г/т)</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негерметичное электрооборудование и без спец. защиты</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0,002 % (20 г/т)</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0,0025 % (25 г/т)</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электрооборудование при отсутствии требований предприятий-изготовителей по количественному определению данного показателя (ГОСТ 1547-84)</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отсутствие</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отсутствие</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 Содержание антиокислительной присадки АГИДОЛ-1 по РД 34.43.105-89, % массы, не менее</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1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0,25</w:t>
            </w:r>
          </w:p>
        </w:tc>
        <w:tc>
          <w:tcPr>
            <w:tcW w:w="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0,4</w:t>
            </w:r>
          </w:p>
        </w:tc>
        <w:tc>
          <w:tcPr>
            <w:tcW w:w="10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2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c>
          <w:tcPr>
            <w:tcW w:w="13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p>
        </w:tc>
      </w:tr>
      <w:tr>
        <w:trPr>
          <w:trHeight w:val="30" w:hRule="atLeast"/>
        </w:trPr>
        <w:tc>
          <w:tcPr>
            <w:tcW w:w="22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 Газосодержание по РД 34.43.107-95, % объема, не более</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0,5</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всех масел 1,0</w:t>
            </w:r>
          </w:p>
        </w:tc>
      </w:tr>
    </w:tbl>
    <w:bookmarkEnd w:id="5127"/>
    <w:bookmarkStart w:name="637606583" w:id="5128"/>
    <w:p>
      <w:pPr>
        <w:spacing w:before="120" w:after="120" w:line="240"/>
        <w:ind w:left="0"/>
        <w:jc w:val="both"/>
      </w:pPr>
      <w:r>
        <w:rPr>
          <w:rFonts w:hint="default" w:ascii="Times New Roman" w:hAnsi="Times New Roman"/>
          <w:b/>
          <w:i w:val="false"/>
          <w:color w:val="000000"/>
          <w:sz w:val="24"/>
        </w:rPr>
        <w:t>Наименьшее допустимое сопротивление изоляции аппаратов, вторичных цепей и электропроводки до 1 кВ</w:t>
      </w:r>
    </w:p>
    <w:bookmarkEnd w:id="5128"/>
    <w:bookmarkStart w:name="637606584" w:id="512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94</w:t>
      </w:r>
    </w:p>
    <w:bookmarkEnd w:id="5129"/>
    <w:bookmarkStart w:name="637606585" w:id="5130"/>
    <w:tbl>
      <w:tblPr>
        <w:tblW w:w="18660" w:type="auto"/>
        <w:tblCellSpacing w:w="0" w:type="auto"/>
        <w:tblBorders>
          <w:top w:val="none"/>
          <w:left w:val="none"/>
          <w:bottom w:val="none"/>
          <w:right w:val="none"/>
          <w:insideH w:val="none"/>
          <w:insideV w:val="none"/>
        </w:tblBorders>
        <w:tblLayout/>
      </w:tblPr>
      <w:tblGrid>
        <w:gridCol w:w="5666"/>
        <w:gridCol w:w="2605"/>
        <w:gridCol w:w="3023"/>
        <w:gridCol w:w="4706"/>
      </w:tblGrid>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мегаомметра, В</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Сопротивление изоляции, МОм</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Примечание</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Вторичные цепи управления, защиты, измерения, сигнализации в электроустановках напряжением выше 1 кВ:</w:t>
            </w:r>
          </w:p>
        </w:tc>
        <w:tc>
          <w:tcPr>
            <w:tcW w:w="2605" w:type="dxa"/>
            <w:tcBorders>
              <w:top w:val="single" w:color="cfcfcf" w:sz="8"/>
              <w:left w:val="single" w:color="cfcfcf" w:sz="8"/>
              <w:bottom w:val="single" w:color="cfcfcf" w:sz="8"/>
              <w:right w:val="single" w:color="cfcfcf" w:sz="8"/>
            </w:tcBorders>
            <w:vAlign w:val="center"/>
          </w:tcPr>
          <w:p>
            <w:pPr>
              <w:spacing w:after="0"/>
              <w:ind w:left="0"/>
              <w:jc w:val="left"/>
            </w:pPr>
          </w:p>
        </w:tc>
        <w:tc>
          <w:tcPr>
            <w:tcW w:w="3023" w:type="dxa"/>
            <w:tcBorders>
              <w:top w:val="single" w:color="cfcfcf" w:sz="8"/>
              <w:left w:val="single" w:color="cfcfcf" w:sz="8"/>
              <w:bottom w:val="single" w:color="cfcfcf" w:sz="8"/>
              <w:right w:val="single" w:color="cfcfcf" w:sz="8"/>
            </w:tcBorders>
            <w:vAlign w:val="center"/>
          </w:tcPr>
          <w:p>
            <w:pPr>
              <w:spacing w:after="0"/>
              <w:ind w:left="0"/>
              <w:jc w:val="left"/>
            </w:pPr>
          </w:p>
        </w:tc>
        <w:tc>
          <w:tcPr>
            <w:tcW w:w="470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Шинки оперативного тока и шинки цепей напряжения на щите управления</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Испытания производятся при отсоединенных цепях</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Каждое присоединение вторичных цепей и цепей питания приводов выключателей и разъединителей</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Испытания производятся со всеми присоединенными аппаратами (обмотки приводов, контакторы, реле, приборы, вторичные обмотки трансформаторов тока и напряжения)</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Вторичные цепи управления, защиты, сигнализации в релейно-контакторных схемах установок напряжением до 1 кВ</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Испытания производятся со всеми присоединенными аппаратами (магнитные пускатели, контакторы, реле, приборы)</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Цепи бесконтактных схем системы регулирования и управления, а также присоединенные к ним элементы</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данным завода-изготовителя</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Цепи управления, защиты и возбуждения машин постоянного тока напряжением до 1,1 кВ, присоединенных к цепям главного тока</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Силовые и осветительные электропроводки</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trPr>
          <w:trHeight w:val="30" w:hRule="atLeast"/>
        </w:trPr>
        <w:tc>
          <w:tcPr>
            <w:tcW w:w="5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Распределительные устройства, щиты и токопроводы напряжением до 1 кВ</w:t>
            </w:r>
          </w:p>
        </w:tc>
        <w:tc>
          <w:tcPr>
            <w:tcW w:w="26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w:t>
            </w:r>
          </w:p>
        </w:tc>
        <w:tc>
          <w:tcPr>
            <w:tcW w:w="30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4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Испытания производятся для каждой секции распределительного устройства</w:t>
            </w:r>
          </w:p>
        </w:tc>
      </w:tr>
    </w:tbl>
    <w:bookmarkEnd w:id="5130"/>
    <w:bookmarkStart w:name="637606586" w:id="5131"/>
    <w:p>
      <w:pPr>
        <w:spacing w:before="120" w:after="120" w:line="240"/>
        <w:ind w:left="0"/>
        <w:jc w:val="both"/>
      </w:pPr>
      <w:r>
        <w:rPr>
          <w:rFonts w:hint="default" w:ascii="Times New Roman" w:hAnsi="Times New Roman"/>
          <w:b/>
          <w:i w:val="false"/>
          <w:color w:val="000000"/>
          <w:sz w:val="24"/>
        </w:rPr>
        <w:t>Испытание контакторов и автоматических выключателей многократными включениями и отключениями</w:t>
      </w:r>
    </w:p>
    <w:bookmarkEnd w:id="5131"/>
    <w:bookmarkStart w:name="637606587" w:id="513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95</w:t>
      </w:r>
    </w:p>
    <w:bookmarkEnd w:id="5132"/>
    <w:bookmarkStart w:name="637606588" w:id="5133"/>
    <w:tbl>
      <w:tblPr>
        <w:tblW w:w="18660" w:type="auto"/>
        <w:tblCellSpacing w:w="0" w:type="auto"/>
        <w:tblBorders>
          <w:top w:val="none"/>
          <w:left w:val="none"/>
          <w:bottom w:val="none"/>
          <w:right w:val="none"/>
          <w:insideH w:val="none"/>
          <w:insideV w:val="none"/>
        </w:tblBorders>
        <w:tblLayout/>
      </w:tblPr>
      <w:tblGrid>
        <w:gridCol w:w="5830"/>
        <w:gridCol w:w="4868"/>
        <w:gridCol w:w="5302"/>
      </w:tblGrid>
      <w:tr>
        <w:trPr>
          <w:trHeight w:val="30" w:hRule="atLeast"/>
        </w:trPr>
        <w:tc>
          <w:tcPr>
            <w:tcW w:w="5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Операция</w:t>
            </w:r>
          </w:p>
        </w:tc>
        <w:tc>
          <w:tcPr>
            <w:tcW w:w="4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оперативного тока, % номинального</w:t>
            </w:r>
          </w:p>
        </w:tc>
        <w:tc>
          <w:tcPr>
            <w:tcW w:w="5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операций</w:t>
            </w:r>
          </w:p>
        </w:tc>
      </w:tr>
      <w:tr>
        <w:trPr>
          <w:trHeight w:val="30" w:hRule="atLeast"/>
        </w:trPr>
        <w:tc>
          <w:tcPr>
            <w:tcW w:w="5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Включение</w:t>
            </w:r>
          </w:p>
        </w:tc>
        <w:tc>
          <w:tcPr>
            <w:tcW w:w="4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5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5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Включение и отключение</w:t>
            </w:r>
          </w:p>
        </w:tc>
        <w:tc>
          <w:tcPr>
            <w:tcW w:w="4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5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58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Отключение</w:t>
            </w:r>
          </w:p>
        </w:tc>
        <w:tc>
          <w:tcPr>
            <w:tcW w:w="4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5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bl>
    <w:bookmarkEnd w:id="5133"/>
    <w:bookmarkStart w:name="637606589" w:id="5134"/>
    <w:p>
      <w:pPr>
        <w:spacing w:before="120" w:after="120" w:line="240"/>
        <w:ind w:left="0"/>
        <w:jc w:val="both"/>
      </w:pPr>
      <w:r>
        <w:rPr>
          <w:rFonts w:hint="default" w:ascii="Times New Roman" w:hAnsi="Times New Roman"/>
          <w:b/>
          <w:i w:val="false"/>
          <w:color w:val="000000"/>
          <w:sz w:val="24"/>
        </w:rPr>
        <w:t>Напряжение оперативного тока, при котором должно обеспечиваться нормальное функционирование схем</w:t>
      </w:r>
    </w:p>
    <w:bookmarkEnd w:id="5134"/>
    <w:bookmarkStart w:name="637606590" w:id="513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96</w:t>
      </w:r>
    </w:p>
    <w:bookmarkEnd w:id="5135"/>
    <w:bookmarkStart w:name="637606591" w:id="5136"/>
    <w:tbl>
      <w:tblPr>
        <w:tblW w:w="18660" w:type="auto"/>
        <w:tblCellSpacing w:w="0" w:type="auto"/>
        <w:tblBorders>
          <w:top w:val="none"/>
          <w:left w:val="none"/>
          <w:bottom w:val="none"/>
          <w:right w:val="none"/>
          <w:insideH w:val="none"/>
          <w:insideV w:val="none"/>
        </w:tblBorders>
        <w:tblLayout/>
      </w:tblPr>
      <w:tblGrid>
        <w:gridCol w:w="6703"/>
        <w:gridCol w:w="2653"/>
        <w:gridCol w:w="6644"/>
      </w:tblGrid>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Испытуемый объект</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оперативного тока, % номинального</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Примечание</w:t>
            </w:r>
          </w:p>
        </w:tc>
      </w:tr>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Схемы защиты и сигнализации в установках напряжением выше 1кВ</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80, 100</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Схемы управления в установках напряжением выше 1 кВ: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Испытание на включение</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90, 100</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 но на отключение</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80, 100</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Релейно-контакторные схемы в установках напряжением до 1 кВ</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90, 100</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простых схем кнопка – магнитный пускатель проверка работы на пониженном напряжении не производится</w:t>
            </w:r>
          </w:p>
        </w:tc>
      </w:tr>
      <w:tr>
        <w:trPr>
          <w:trHeight w:val="30" w:hRule="atLeast"/>
        </w:trPr>
        <w:tc>
          <w:tcPr>
            <w:tcW w:w="6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Бесконтактные схемы на логических элементах</w:t>
            </w:r>
          </w:p>
        </w:tc>
        <w:tc>
          <w:tcPr>
            <w:tcW w:w="2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85, 100, 110</w:t>
            </w:r>
          </w:p>
        </w:tc>
        <w:tc>
          <w:tcPr>
            <w:tcW w:w="6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Изменение напряжения производится на входе в блок питания</w:t>
            </w:r>
          </w:p>
        </w:tc>
      </w:tr>
    </w:tbl>
    <w:bookmarkEnd w:id="5136"/>
    <w:bookmarkStart w:name="637606592" w:id="5137"/>
    <w:p>
      <w:pPr>
        <w:spacing w:before="120" w:after="120" w:line="240"/>
        <w:ind w:left="0"/>
        <w:jc w:val="both"/>
      </w:pPr>
      <w:r>
        <w:rPr>
          <w:rFonts w:hint="default" w:ascii="Times New Roman" w:hAnsi="Times New Roman"/>
          <w:b/>
          <w:i w:val="false"/>
          <w:color w:val="000000"/>
          <w:sz w:val="24"/>
        </w:rPr>
        <w:t>Испытательное напряжение выпрямленного тока для силовых кабелей</w:t>
      </w:r>
    </w:p>
    <w:bookmarkEnd w:id="5137"/>
    <w:bookmarkStart w:name="637606593" w:id="513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97</w:t>
      </w:r>
    </w:p>
    <w:bookmarkEnd w:id="5138"/>
    <w:bookmarkStart w:name="637606594" w:id="5139"/>
    <w:tbl>
      <w:tblPr>
        <w:tblW w:w="18660" w:type="auto"/>
        <w:tblCellSpacing w:w="0" w:type="auto"/>
        <w:tblBorders>
          <w:top w:val="none"/>
          <w:left w:val="none"/>
          <w:bottom w:val="none"/>
          <w:right w:val="none"/>
          <w:insideH w:val="none"/>
          <w:insideV w:val="none"/>
        </w:tblBorders>
        <w:tblLayout/>
      </w:tblPr>
      <w:tblGrid>
        <w:gridCol w:w="334"/>
        <w:gridCol w:w="866"/>
        <w:gridCol w:w="453"/>
        <w:gridCol w:w="453"/>
        <w:gridCol w:w="453"/>
        <w:gridCol w:w="453"/>
        <w:gridCol w:w="453"/>
        <w:gridCol w:w="453"/>
        <w:gridCol w:w="453"/>
        <w:gridCol w:w="453"/>
        <w:gridCol w:w="453"/>
        <w:gridCol w:w="454"/>
        <w:gridCol w:w="454"/>
        <w:gridCol w:w="454"/>
        <w:gridCol w:w="8983"/>
        <w:gridCol w:w="378"/>
      </w:tblGrid>
      <w:tr>
        <w:trPr>
          <w:trHeight w:val="30" w:hRule="atLeast"/>
        </w:trPr>
        <w:tc>
          <w:tcPr>
            <w:tcW w:w="33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Изоляция и марка кабеля</w:t>
            </w:r>
          </w:p>
        </w:tc>
        <w:tc>
          <w:tcPr>
            <w:tcW w:w="0" w:type="auto"/>
            <w:gridSpan w:val="1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выпрямленное напряжение, кВ, для силовых кабелей на рабочее напряжение, кВ</w:t>
            </w:r>
          </w:p>
        </w:tc>
        <w:tc>
          <w:tcPr>
            <w:tcW w:w="3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Продолжительность испытания, мин</w:t>
            </w:r>
          </w:p>
        </w:tc>
      </w:tr>
      <w:tr>
        <w:trPr>
          <w:trHeight w:val="30" w:hRule="atLeast"/>
        </w:trPr>
        <w:tc>
          <w:tcPr>
            <w:tcW w:w="0" w:type="auto"/>
            <w:vMerge/>
            <w:tcBorders>
              <w:top w:val="nil"/>
              <w:left w:val="single" w:color="cfcfcf" w:sz="8"/>
              <w:bottom w:val="single" w:color="cfcfcf" w:sz="8"/>
              <w:right w:val="single" w:color="cfcfcf" w:sz="8"/>
            </w:tcBorders>
          </w:tcPr>
          <w:p/>
        </w:tc>
        <w:tc>
          <w:tcPr>
            <w:tcW w:w="8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0,66*</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w:t>
            </w:r>
          </w:p>
        </w:tc>
        <w:tc>
          <w:tcPr>
            <w:tcW w:w="4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w:t>
            </w:r>
          </w:p>
        </w:tc>
        <w:tc>
          <w:tcPr>
            <w:tcW w:w="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w:t>
            </w:r>
          </w:p>
        </w:tc>
        <w:tc>
          <w:tcPr>
            <w:tcW w:w="4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0" w:type="auto"/>
            <w:gridSpan w:val="2"/>
            <w:tcBorders>
              <w:left w:val="single" w:color="cfcfcf" w:sz="8"/>
              <w:bottom w:val="single" w:color="cfcfcf" w:sz="8"/>
              <w:right w:val="single" w:color="cfcfcf" w:sz="8"/>
            </w:tcBorders>
            <w:vAlign w:val="center"/>
          </w:tcPr>
          <w:p>
            <w:pPr>
              <w:spacing w:after="0"/>
              <w:ind w:left="0"/>
              <w:jc w:val="left"/>
            </w:pPr>
          </w:p>
        </w:tc>
      </w:tr>
      <w:tr>
        <w:trPr>
          <w:trHeight w:val="30" w:hRule="atLeast"/>
        </w:trPr>
        <w:tc>
          <w:tcPr>
            <w:tcW w:w="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Бумажная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Резиновая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Пластмассовая</w:t>
            </w:r>
          </w:p>
        </w:tc>
        <w:tc>
          <w:tcPr>
            <w:tcW w:w="866"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3,5</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5</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w:t>
            </w:r>
          </w:p>
          <w:p>
            <w:pPr>
              <w:spacing w:after="0"/>
              <w:ind w:left="14"/>
              <w:jc w:val="left"/>
            </w:pPr>
            <w:r>
              <w:rPr>
                <w:rFonts w:hint="default" w:ascii="Times New Roman" w:hAnsi="Times New Roman"/>
                <w:b w:val="false"/>
                <w:i w:val="false"/>
                <w:color w:val="000000"/>
                <w:sz w:val="24"/>
              </w:rPr>
              <w:t>15</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w:t>
            </w:r>
          </w:p>
          <w:p>
            <w:pPr>
              <w:spacing w:after="0"/>
              <w:ind w:left="14"/>
              <w:jc w:val="left"/>
            </w:pPr>
            <w:r>
              <w:rPr>
                <w:rFonts w:hint="default" w:ascii="Times New Roman" w:hAnsi="Times New Roman"/>
                <w:b w:val="false"/>
                <w:i w:val="false"/>
                <w:color w:val="000000"/>
                <w:sz w:val="24"/>
              </w:rPr>
              <w:t>36</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p>
          <w:p>
            <w:pPr>
              <w:spacing w:after="0"/>
              <w:ind w:left="14"/>
              <w:jc w:val="left"/>
            </w:pPr>
            <w:r>
              <w:rPr>
                <w:rFonts w:hint="default" w:ascii="Times New Roman" w:hAnsi="Times New Roman"/>
                <w:b w:val="false"/>
                <w:i w:val="false"/>
                <w:color w:val="000000"/>
                <w:sz w:val="24"/>
              </w:rPr>
              <w:t>60</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28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28</w:t>
            </w:r>
          </w:p>
        </w:tc>
        <w:tc>
          <w:tcPr>
            <w:tcW w:w="4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51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454"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86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r>
    </w:tbl>
    <w:bookmarkEnd w:id="5139"/>
    <w:bookmarkStart w:name="637606595" w:id="5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Испытание выпрямленным напряжением одножильных кабелей с пластмассовой изоляцией без брони (экранов), проложенных на воздухе, не производится.</w:t>
      </w:r>
    </w:p>
    <w:bookmarkEnd w:id="5140"/>
    <w:bookmarkStart w:name="637606596" w:id="5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Для кабелей на напряжение 110–500 кВ.</w:t>
      </w:r>
    </w:p>
    <w:bookmarkEnd w:id="5141"/>
    <w:bookmarkStart w:name="637606597" w:id="5142"/>
    <w:p>
      <w:pPr>
        <w:spacing w:before="120" w:after="120" w:line="240"/>
        <w:ind w:left="0"/>
        <w:jc w:val="both"/>
      </w:pPr>
      <w:r>
        <w:rPr>
          <w:rFonts w:hint="default" w:ascii="Times New Roman" w:hAnsi="Times New Roman"/>
          <w:b/>
          <w:i w:val="false"/>
          <w:color w:val="000000"/>
          <w:sz w:val="24"/>
        </w:rPr>
        <w:t>Токи утечки и коэффициенты асимметрии для силовых кабелей</w:t>
      </w:r>
    </w:p>
    <w:bookmarkEnd w:id="5142"/>
    <w:bookmarkStart w:name="637606598" w:id="514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98</w:t>
      </w:r>
    </w:p>
    <w:bookmarkEnd w:id="5143"/>
    <w:bookmarkStart w:name="637606599" w:id="5144"/>
    <w:tbl>
      <w:tblPr>
        <w:tblW w:w="18660" w:type="auto"/>
        <w:tblCellSpacing w:w="0" w:type="auto"/>
        <w:tblBorders>
          <w:top w:val="none"/>
          <w:left w:val="none"/>
          <w:bottom w:val="none"/>
          <w:right w:val="none"/>
          <w:insideH w:val="none"/>
          <w:insideV w:val="none"/>
        </w:tblBorders>
        <w:tblLayout/>
      </w:tblPr>
      <w:tblGrid>
        <w:gridCol w:w="3324"/>
        <w:gridCol w:w="3795"/>
        <w:gridCol w:w="4117"/>
        <w:gridCol w:w="4764"/>
      </w:tblGrid>
      <w:tr>
        <w:trPr>
          <w:trHeight w:val="30" w:hRule="atLeast"/>
        </w:trPr>
        <w:tc>
          <w:tcPr>
            <w:tcW w:w="33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Кабели напряжением, кВ</w:t>
            </w:r>
          </w:p>
        </w:tc>
        <w:tc>
          <w:tcPr>
            <w:tcW w:w="3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Испытательное напряжение, кВ</w:t>
            </w:r>
          </w:p>
        </w:tc>
        <w:tc>
          <w:tcPr>
            <w:tcW w:w="4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Допустимые значения токов утечки, мА</w:t>
            </w:r>
          </w:p>
        </w:tc>
        <w:tc>
          <w:tcPr>
            <w:tcW w:w="47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Допустимые значения коэффициента асимметрии, I</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max</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min</w:t>
            </w:r>
          </w:p>
        </w:tc>
      </w:tr>
      <w:tr>
        <w:trPr>
          <w:trHeight w:val="30" w:hRule="atLeast"/>
        </w:trPr>
        <w:tc>
          <w:tcPr>
            <w:tcW w:w="33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3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w:t>
            </w:r>
          </w:p>
        </w:tc>
        <w:tc>
          <w:tcPr>
            <w:tcW w:w="4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0,3</w:t>
            </w:r>
          </w:p>
        </w:tc>
        <w:tc>
          <w:tcPr>
            <w:tcW w:w="47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w:t>
            </w:r>
          </w:p>
        </w:tc>
      </w:tr>
      <w:tr>
        <w:trPr>
          <w:trHeight w:val="30" w:hRule="atLeast"/>
        </w:trPr>
        <w:tc>
          <w:tcPr>
            <w:tcW w:w="33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3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4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0,5</w:t>
            </w:r>
          </w:p>
        </w:tc>
        <w:tc>
          <w:tcPr>
            <w:tcW w:w="47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w:t>
            </w:r>
          </w:p>
        </w:tc>
      </w:tr>
      <w:tr>
        <w:trPr>
          <w:trHeight w:val="30" w:hRule="atLeast"/>
        </w:trPr>
        <w:tc>
          <w:tcPr>
            <w:tcW w:w="33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w:t>
            </w:r>
          </w:p>
        </w:tc>
        <w:tc>
          <w:tcPr>
            <w:tcW w:w="3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175</w:t>
            </w:r>
          </w:p>
        </w:tc>
        <w:tc>
          <w:tcPr>
            <w:tcW w:w="4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p>
        </w:tc>
        <w:tc>
          <w:tcPr>
            <w:tcW w:w="47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p>
        </w:tc>
      </w:tr>
      <w:tr>
        <w:trPr>
          <w:trHeight w:val="30" w:hRule="atLeast"/>
        </w:trPr>
        <w:tc>
          <w:tcPr>
            <w:tcW w:w="33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p>
        </w:tc>
        <w:tc>
          <w:tcPr>
            <w:tcW w:w="3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865</w:t>
            </w:r>
          </w:p>
        </w:tc>
        <w:tc>
          <w:tcPr>
            <w:tcW w:w="41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Не нормируется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47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Не нормируется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144"/>
    <w:bookmarkStart w:name="637606600" w:id="5145"/>
    <w:p>
      <w:pPr>
        <w:spacing w:before="120" w:after="120" w:line="240"/>
        <w:ind w:left="0"/>
        <w:jc w:val="both"/>
      </w:pPr>
      <w:r>
        <w:rPr>
          <w:rFonts w:hint="default" w:ascii="Times New Roman" w:hAnsi="Times New Roman"/>
          <w:b/>
          <w:i w:val="false"/>
          <w:color w:val="000000"/>
          <w:sz w:val="24"/>
        </w:rPr>
        <w:t>Нормы на показатели качества масел марок С-220, МН-3 и МН-4 и изоляционной жидкости марки ПМС</w:t>
      </w:r>
    </w:p>
    <w:bookmarkEnd w:id="5145"/>
    <w:bookmarkStart w:name="637606601" w:id="514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99</w:t>
      </w:r>
    </w:p>
    <w:bookmarkEnd w:id="5146"/>
    <w:bookmarkStart w:name="637606602" w:id="5147"/>
    <w:tbl>
      <w:tblPr>
        <w:tblW w:w="18660" w:type="auto"/>
        <w:tblCellSpacing w:w="0" w:type="auto"/>
        <w:tblBorders>
          <w:top w:val="none"/>
          <w:left w:val="none"/>
          <w:bottom w:val="none"/>
          <w:right w:val="none"/>
          <w:insideH w:val="none"/>
          <w:insideV w:val="none"/>
        </w:tblBorders>
        <w:tblLayout/>
      </w:tblPr>
      <w:tblGrid>
        <w:gridCol w:w="9908"/>
        <w:gridCol w:w="2550"/>
        <w:gridCol w:w="2255"/>
        <w:gridCol w:w="1287"/>
      </w:tblGrid>
      <w:tr>
        <w:trPr>
          <w:trHeight w:val="30" w:hRule="atLeast"/>
        </w:trPr>
        <w:tc>
          <w:tcPr>
            <w:tcW w:w="990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Показатель качества масла</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вновь вводимой линии</w:t>
            </w:r>
          </w:p>
        </w:tc>
      </w:tr>
      <w:tr>
        <w:trPr>
          <w:trHeight w:val="30" w:hRule="atLeast"/>
        </w:trPr>
        <w:tc>
          <w:tcPr>
            <w:tcW w:w="0" w:type="auto"/>
            <w:vMerge/>
            <w:tcBorders>
              <w:top w:val="nil"/>
              <w:left w:val="single" w:color="cfcfcf" w:sz="8"/>
              <w:bottom w:val="single" w:color="cfcfcf" w:sz="8"/>
              <w:right w:val="single" w:color="cfcfcf" w:sz="8"/>
            </w:tcBorders>
          </w:tcPr>
          <w:p/>
        </w:tc>
        <w:tc>
          <w:tcPr>
            <w:tcW w:w="25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С-220, 5-РА</w:t>
            </w:r>
          </w:p>
        </w:tc>
        <w:tc>
          <w:tcPr>
            <w:tcW w:w="22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МН-3, МН-4</w:t>
            </w:r>
          </w:p>
        </w:tc>
        <w:tc>
          <w:tcPr>
            <w:tcW w:w="12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ПМС</w:t>
            </w:r>
          </w:p>
        </w:tc>
      </w:tr>
      <w:tr>
        <w:trPr>
          <w:trHeight w:val="30" w:hRule="atLeast"/>
        </w:trPr>
        <w:tc>
          <w:tcPr>
            <w:tcW w:w="99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Пробивное напряжение в стандартном сосуде, кВ, не менее</w:t>
            </w:r>
          </w:p>
        </w:tc>
        <w:tc>
          <w:tcPr>
            <w:tcW w:w="25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22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12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99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 дегазации (растворенный газ), %, не более</w:t>
            </w:r>
          </w:p>
        </w:tc>
        <w:tc>
          <w:tcPr>
            <w:tcW w:w="25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22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2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5147"/>
    <w:bookmarkStart w:name="637606603" w:id="51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Испытания масел, не указанных в таблице 99, производить в соответствии с требованием изготовителя.</w:t>
      </w:r>
    </w:p>
    <w:bookmarkEnd w:id="5148"/>
    <w:bookmarkStart w:name="637606604" w:id="5149"/>
    <w:p>
      <w:pPr>
        <w:spacing w:before="120" w:after="120" w:line="240"/>
        <w:ind w:left="0"/>
        <w:jc w:val="both"/>
      </w:pPr>
      <w:r>
        <w:rPr>
          <w:rFonts w:hint="default" w:ascii="Times New Roman" w:hAnsi="Times New Roman"/>
          <w:b/>
          <w:i w:val="false"/>
          <w:color w:val="000000"/>
          <w:sz w:val="24"/>
        </w:rPr>
        <w:t>Тангенс угла диэлектрических потерь масла и изоляционной жидкости (при 100оС), %, не более, для кабелей на напряжение, кВ</w:t>
      </w:r>
    </w:p>
    <w:bookmarkEnd w:id="5149"/>
    <w:bookmarkStart w:name="637606605" w:id="515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100</w:t>
      </w:r>
    </w:p>
    <w:bookmarkEnd w:id="5150"/>
    <w:bookmarkStart w:name="637606606" w:id="5151"/>
    <w:tbl>
      <w:tblPr>
        <w:tblW w:w="18660" w:type="auto"/>
        <w:tblCellSpacing w:w="0" w:type="auto"/>
        <w:tblBorders>
          <w:top w:val="none"/>
          <w:left w:val="none"/>
          <w:bottom w:val="none"/>
          <w:right w:val="none"/>
          <w:insideH w:val="none"/>
          <w:insideV w:val="none"/>
        </w:tblBorders>
        <w:tblLayout/>
      </w:tblPr>
      <w:tblGrid>
        <w:gridCol w:w="5079"/>
        <w:gridCol w:w="3093"/>
        <w:gridCol w:w="3792"/>
        <w:gridCol w:w="4036"/>
      </w:tblGrid>
      <w:tr>
        <w:trPr>
          <w:trHeight w:val="30" w:hRule="atLeast"/>
        </w:trPr>
        <w:tc>
          <w:tcPr>
            <w:tcW w:w="50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Напряжение, кВ</w:t>
            </w:r>
          </w:p>
        </w:tc>
        <w:tc>
          <w:tcPr>
            <w:tcW w:w="3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150–220</w:t>
            </w:r>
          </w:p>
        </w:tc>
        <w:tc>
          <w:tcPr>
            <w:tcW w:w="40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330–500</w:t>
            </w:r>
          </w:p>
        </w:tc>
      </w:tr>
      <w:tr>
        <w:trPr>
          <w:trHeight w:val="30" w:hRule="atLeast"/>
        </w:trPr>
        <w:tc>
          <w:tcPr>
            <w:tcW w:w="50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tg</w:t>
            </w: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17500" cy="393700"/>
                          </a:xfrm>
                          <a:prstGeom prst="rect">
                            <a:avLst/>
                          </a:prstGeom>
                        </pic:spPr>
                      </pic:pic>
                    </a:graphicData>
                  </a:graphic>
                </wp:inline>
              </w:drawing>
            </w:r>
            <w:r>
              <w:rPr>
                <w:rFonts w:hint="default" w:ascii="Times New Roman" w:hAnsi="Times New Roman"/>
                <w:b w:val="false"/>
                <w:i w:val="false"/>
                <w:color w:val="000000"/>
                <w:sz w:val="24"/>
              </w:rPr>
              <w:t xml:space="preserve"> , %</w:t>
            </w:r>
          </w:p>
        </w:tc>
        <w:tc>
          <w:tcPr>
            <w:tcW w:w="30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0,5/0,8*</w:t>
            </w:r>
          </w:p>
        </w:tc>
        <w:tc>
          <w:tcPr>
            <w:tcW w:w="37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0,5/0,8*</w:t>
            </w:r>
          </w:p>
        </w:tc>
        <w:tc>
          <w:tcPr>
            <w:tcW w:w="40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bl>
    <w:bookmarkEnd w:id="5151"/>
    <w:bookmarkStart w:name="637606607" w:id="5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числителе указано значение для масел С-220 и 5-РА, в знаменателе – для МН-3, МН-4 и ПМС.</w:t>
      </w:r>
    </w:p>
    <w:bookmarkEnd w:id="5152"/>
    <w:bookmarkStart w:name="637606608" w:id="5153"/>
    <w:p>
      <w:pPr>
        <w:spacing w:before="120" w:after="120" w:line="240"/>
        <w:ind w:left="0"/>
        <w:jc w:val="both"/>
      </w:pPr>
      <w:r>
        <w:rPr>
          <w:rFonts w:hint="default" w:ascii="Times New Roman" w:hAnsi="Times New Roman"/>
          <w:b/>
          <w:i w:val="false"/>
          <w:color w:val="000000"/>
          <w:sz w:val="24"/>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bookmarkEnd w:id="5153"/>
    <w:bookmarkStart w:name="637606609" w:id="515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101</w:t>
      </w:r>
    </w:p>
    <w:bookmarkEnd w:id="5154"/>
    <w:bookmarkStart w:name="637606610" w:id="5155"/>
    <w:tbl>
      <w:tblPr>
        <w:tblW w:w="18660" w:type="auto"/>
        <w:tblCellSpacing w:w="0" w:type="auto"/>
        <w:tblBorders>
          <w:top w:val="none"/>
          <w:left w:val="none"/>
          <w:bottom w:val="none"/>
          <w:right w:val="none"/>
          <w:insideH w:val="none"/>
          <w:insideV w:val="none"/>
        </w:tblBorders>
        <w:tblLayout/>
      </w:tblPr>
      <w:tblGrid>
        <w:gridCol w:w="4183"/>
        <w:gridCol w:w="5087"/>
        <w:gridCol w:w="6730"/>
      </w:tblGrid>
      <w:tr>
        <w:trPr>
          <w:trHeight w:val="30" w:hRule="atLeast"/>
        </w:trPr>
        <w:tc>
          <w:tcPr>
            <w:tcW w:w="418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загрязнения</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42900" cy="368300"/>
                          </a:xfrm>
                          <a:prstGeom prst="rect">
                            <a:avLst/>
                          </a:prstGeom>
                        </pic:spPr>
                      </pic:pic>
                    </a:graphicData>
                  </a:graphic>
                </wp:inline>
              </w:drawing>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э, см/кВ (не менее), при номинальном напряжении, кВ</w:t>
            </w:r>
          </w:p>
        </w:tc>
      </w:tr>
      <w:tr>
        <w:trPr>
          <w:trHeight w:val="30" w:hRule="atLeast"/>
        </w:trPr>
        <w:tc>
          <w:tcPr>
            <w:tcW w:w="0" w:type="auto"/>
            <w:vMerge/>
            <w:tcBorders>
              <w:top w:val="nil"/>
              <w:left w:val="single" w:color="cfcfcf" w:sz="8"/>
              <w:bottom w:val="single" w:color="cfcfcf" w:sz="8"/>
              <w:right w:val="single" w:color="cfcfcf" w:sz="8"/>
            </w:tcBorders>
          </w:tcPr>
          <w:p/>
        </w:tc>
        <w:tc>
          <w:tcPr>
            <w:tcW w:w="50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35 включительно</w:t>
            </w:r>
          </w:p>
        </w:tc>
        <w:tc>
          <w:tcPr>
            <w:tcW w:w="6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110-750</w:t>
            </w:r>
          </w:p>
        </w:tc>
      </w:tr>
      <w:tr>
        <w:trPr>
          <w:trHeight w:val="30" w:hRule="atLeast"/>
        </w:trPr>
        <w:tc>
          <w:tcPr>
            <w:tcW w:w="4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50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6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r>
      <w:tr>
        <w:trPr>
          <w:trHeight w:val="30" w:hRule="atLeast"/>
        </w:trPr>
        <w:tc>
          <w:tcPr>
            <w:tcW w:w="4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50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6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4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50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6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r>
      <w:tr>
        <w:trPr>
          <w:trHeight w:val="30" w:hRule="atLeast"/>
        </w:trPr>
        <w:tc>
          <w:tcPr>
            <w:tcW w:w="41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50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c>
          <w:tcPr>
            <w:tcW w:w="67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r>
    </w:tbl>
    <w:bookmarkEnd w:id="5155"/>
    <w:bookmarkStart w:name="637606611" w:id="5156"/>
    <w:p>
      <w:pPr>
        <w:spacing w:before="120" w:after="120" w:line="240"/>
        <w:ind w:left="0"/>
        <w:jc w:val="both"/>
      </w:pPr>
      <w:r>
        <w:rPr>
          <w:rFonts w:hint="default" w:ascii="Times New Roman" w:hAnsi="Times New Roman"/>
          <w:b/>
          <w:i w:val="false"/>
          <w:color w:val="000000"/>
          <w:sz w:val="24"/>
        </w:rPr>
        <w:t>50%-ные разрядные напряжения гирлянд ВЛ 6-750 кВ, внешней изоляции электрооборудования и изоляторов ОРУ 6-750 кВ в загрязненном и увлажненном состоянии</w:t>
      </w:r>
    </w:p>
    <w:bookmarkEnd w:id="5156"/>
    <w:bookmarkStart w:name="637606612" w:id="515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102</w:t>
      </w:r>
    </w:p>
    <w:bookmarkEnd w:id="5157"/>
    <w:bookmarkStart w:name="637606613" w:id="5158"/>
    <w:tbl>
      <w:tblPr>
        <w:tblW w:w="18660" w:type="auto"/>
        <w:tblCellSpacing w:w="0" w:type="auto"/>
        <w:tblBorders>
          <w:top w:val="none"/>
          <w:left w:val="none"/>
          <w:bottom w:val="none"/>
          <w:right w:val="none"/>
          <w:insideH w:val="none"/>
          <w:insideV w:val="none"/>
        </w:tblBorders>
        <w:tblLayout/>
      </w:tblPr>
      <w:tblGrid>
        <w:gridCol w:w="6400"/>
        <w:gridCol w:w="9600"/>
      </w:tblGrid>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электроустановки, кВ</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50%-ные разрядные напряжения, кВ (действующие значения)</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315</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r>
      <w:tr>
        <w:trPr>
          <w:trHeight w:val="30" w:hRule="atLeast"/>
        </w:trPr>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750</w:t>
            </w:r>
          </w:p>
        </w:tc>
        <w:tc>
          <w:tcPr>
            <w:tcW w:w="9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685</w:t>
            </w:r>
          </w:p>
        </w:tc>
      </w:tr>
    </w:tbl>
    <w:bookmarkEnd w:id="5158"/>
    <w:bookmarkStart w:name="637606614" w:id="5159"/>
    <w:p>
      <w:pPr>
        <w:spacing w:before="120" w:after="120" w:line="240"/>
        <w:ind w:left="0"/>
        <w:jc w:val="both"/>
      </w:pPr>
      <w:r>
        <w:rPr>
          <w:rFonts w:hint="default" w:ascii="Times New Roman" w:hAnsi="Times New Roman"/>
          <w:b/>
          <w:i w:val="false"/>
          <w:color w:val="000000"/>
          <w:sz w:val="24"/>
        </w:rPr>
        <w:t>СЗ вблизи химических предприятий и производств</w:t>
      </w:r>
    </w:p>
    <w:bookmarkEnd w:id="5159"/>
    <w:bookmarkStart w:name="637606615" w:id="516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103</w:t>
      </w:r>
    </w:p>
    <w:bookmarkEnd w:id="5160"/>
    <w:bookmarkStart w:name="637606616" w:id="5161"/>
    <w:tbl>
      <w:tblPr>
        <w:tblW w:w="18660" w:type="auto"/>
        <w:tblCellSpacing w:w="0" w:type="auto"/>
        <w:tblBorders>
          <w:top w:val="none"/>
          <w:left w:val="none"/>
          <w:bottom w:val="none"/>
          <w:right w:val="none"/>
          <w:insideH w:val="none"/>
          <w:insideV w:val="none"/>
        </w:tblBorders>
        <w:tblLayout/>
      </w:tblPr>
      <w:tblGrid>
        <w:gridCol w:w="3613"/>
        <w:gridCol w:w="1178"/>
        <w:gridCol w:w="1772"/>
        <w:gridCol w:w="1601"/>
        <w:gridCol w:w="1214"/>
        <w:gridCol w:w="1446"/>
        <w:gridCol w:w="1446"/>
        <w:gridCol w:w="1958"/>
        <w:gridCol w:w="1772"/>
      </w:tblGrid>
      <w:tr>
        <w:trPr>
          <w:trHeight w:val="30" w:hRule="atLeast"/>
        </w:trPr>
        <w:tc>
          <w:tcPr>
            <w:tcW w:w="361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 тыс. т/год</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1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2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2000</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2500</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2500 до 3000</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3000 до 5000</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5000</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500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1500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2500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2500 до 3500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3500 до 5000</w:t>
            </w:r>
          </w:p>
        </w:tc>
        <w:tc>
          <w:tcPr>
            <w:tcW w:w="117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21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4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9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7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61"/>
    <w:bookmarkStart w:name="637606617" w:id="5162"/>
    <w:p>
      <w:pPr>
        <w:spacing w:before="120" w:after="120" w:line="240"/>
        <w:ind w:left="0"/>
        <w:jc w:val="both"/>
      </w:pPr>
      <w:r>
        <w:rPr>
          <w:rFonts w:hint="default" w:ascii="Times New Roman" w:hAnsi="Times New Roman"/>
          <w:b/>
          <w:i w:val="false"/>
          <w:color w:val="000000"/>
          <w:sz w:val="24"/>
        </w:rPr>
        <w:t>СЗ вблизи нефтеперерабатывающих и нефтехимических предприятий и производств</w:t>
      </w:r>
    </w:p>
    <w:bookmarkEnd w:id="5162"/>
    <w:bookmarkStart w:name="637606618" w:id="516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103-1</w:t>
      </w:r>
    </w:p>
    <w:bookmarkEnd w:id="5163"/>
    <w:bookmarkStart w:name="637606619" w:id="5164"/>
    <w:tbl>
      <w:tblPr>
        <w:tblW w:w="18660" w:type="auto"/>
        <w:tblCellSpacing w:w="0" w:type="auto"/>
        <w:tblBorders>
          <w:top w:val="none"/>
          <w:left w:val="none"/>
          <w:bottom w:val="none"/>
          <w:right w:val="none"/>
          <w:insideH w:val="none"/>
          <w:insideV w:val="none"/>
        </w:tblBorders>
        <w:tblLayout/>
      </w:tblPr>
      <w:tblGrid>
        <w:gridCol w:w="3602"/>
        <w:gridCol w:w="2697"/>
        <w:gridCol w:w="1340"/>
        <w:gridCol w:w="1372"/>
        <w:gridCol w:w="1691"/>
        <w:gridCol w:w="1819"/>
        <w:gridCol w:w="1468"/>
        <w:gridCol w:w="2011"/>
      </w:tblGrid>
      <w:tr>
        <w:trPr>
          <w:trHeight w:val="30" w:hRule="atLeast"/>
        </w:trPr>
        <w:tc>
          <w:tcPr>
            <w:tcW w:w="36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269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 тыс. т/год</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200</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3500</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3500</w:t>
            </w:r>
          </w:p>
        </w:tc>
      </w:tr>
      <w:tr>
        <w:trPr>
          <w:trHeight w:val="30" w:hRule="atLeast"/>
        </w:trPr>
        <w:tc>
          <w:tcPr>
            <w:tcW w:w="36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Нефтеперерабатывающие заводы</w:t>
            </w: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5000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5000 до 9000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9000 до 18000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Нефтехимические заводы и комбинаты</w:t>
            </w: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5000 до 10000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10000 до 15000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15000 до 20000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Заводы синтетического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Каучука</w:t>
            </w: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 до 150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 до 500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6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Заводы</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резинотехнических изделий</w:t>
            </w:r>
          </w:p>
        </w:tc>
        <w:tc>
          <w:tcPr>
            <w:tcW w:w="26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От 100 до 300</w:t>
            </w:r>
          </w:p>
        </w:tc>
        <w:tc>
          <w:tcPr>
            <w:tcW w:w="13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w:t>
            </w:r>
          </w:p>
        </w:tc>
        <w:tc>
          <w:tcPr>
            <w:tcW w:w="137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w:t>
            </w:r>
          </w:p>
        </w:tc>
        <w:tc>
          <w:tcPr>
            <w:tcW w:w="16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w:t>
            </w:r>
          </w:p>
        </w:tc>
        <w:tc>
          <w:tcPr>
            <w:tcW w:w="18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w:t>
            </w:r>
          </w:p>
        </w:tc>
        <w:tc>
          <w:tcPr>
            <w:tcW w:w="14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w:t>
            </w:r>
          </w:p>
        </w:tc>
        <w:tc>
          <w:tcPr>
            <w:tcW w:w="2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w:t>
            </w:r>
          </w:p>
        </w:tc>
      </w:tr>
    </w:tbl>
    <w:bookmarkEnd w:id="5164"/>
    <w:bookmarkStart w:name="637606620" w:id="5165"/>
    <w:p>
      <w:pPr>
        <w:spacing w:before="120" w:after="120" w:line="240"/>
        <w:ind w:left="0"/>
        <w:jc w:val="both"/>
      </w:pPr>
      <w:r>
        <w:rPr>
          <w:rFonts w:hint="default" w:ascii="Times New Roman" w:hAnsi="Times New Roman"/>
          <w:b/>
          <w:i w:val="false"/>
          <w:color w:val="000000"/>
          <w:sz w:val="24"/>
        </w:rPr>
        <w:t>СЗ вблизи предприятий по производству газов и переработке нефтяного газа</w:t>
      </w:r>
    </w:p>
    <w:bookmarkEnd w:id="5165"/>
    <w:bookmarkStart w:name="637606621" w:id="516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104</w:t>
      </w:r>
    </w:p>
    <w:bookmarkEnd w:id="5166"/>
    <w:bookmarkStart w:name="637606622" w:id="5167"/>
    <w:tbl>
      <w:tblPr>
        <w:tblW w:w="18660" w:type="auto"/>
        <w:tblCellSpacing w:w="0" w:type="auto"/>
        <w:tblBorders>
          <w:top w:val="none"/>
          <w:left w:val="none"/>
          <w:bottom w:val="none"/>
          <w:right w:val="none"/>
          <w:insideH w:val="none"/>
          <w:insideV w:val="none"/>
        </w:tblBorders>
        <w:tblLayout/>
      </w:tblPr>
      <w:tblGrid>
        <w:gridCol w:w="4175"/>
        <w:gridCol w:w="3891"/>
        <w:gridCol w:w="2432"/>
        <w:gridCol w:w="2659"/>
        <w:gridCol w:w="2843"/>
      </w:tblGrid>
      <w:tr>
        <w:trPr>
          <w:trHeight w:val="30" w:hRule="atLeast"/>
        </w:trPr>
        <w:tc>
          <w:tcPr>
            <w:tcW w:w="417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89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26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28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w:t>
            </w:r>
          </w:p>
        </w:tc>
      </w:tr>
      <w:tr>
        <w:trPr>
          <w:trHeight w:val="30" w:hRule="atLeast"/>
        </w:trPr>
        <w:tc>
          <w:tcPr>
            <w:tcW w:w="41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газов</w:t>
            </w:r>
          </w:p>
        </w:tc>
        <w:tc>
          <w:tcPr>
            <w:tcW w:w="38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2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6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8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41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Переработка нефтяного газа</w:t>
            </w:r>
          </w:p>
        </w:tc>
        <w:tc>
          <w:tcPr>
            <w:tcW w:w="38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24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6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8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67"/>
    <w:bookmarkStart w:name="637606623" w:id="5168"/>
    <w:p>
      <w:pPr>
        <w:spacing w:before="120" w:after="120" w:line="240"/>
        <w:ind w:left="0"/>
        <w:jc w:val="both"/>
      </w:pPr>
      <w:r>
        <w:rPr>
          <w:rFonts w:hint="default" w:ascii="Times New Roman" w:hAnsi="Times New Roman"/>
          <w:b/>
          <w:i w:val="false"/>
          <w:color w:val="000000"/>
          <w:sz w:val="24"/>
        </w:rPr>
        <w:t>СЗ вблизи предприятий по производству целлюлозы и бумаги</w:t>
      </w:r>
    </w:p>
    <w:bookmarkEnd w:id="5168"/>
    <w:bookmarkStart w:name="637606624" w:id="516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105</w:t>
      </w:r>
    </w:p>
    <w:bookmarkEnd w:id="5169"/>
    <w:bookmarkStart w:name="637606625" w:id="5170"/>
    <w:tbl>
      <w:tblPr>
        <w:tblW w:w="18660" w:type="auto"/>
        <w:tblCellSpacing w:w="0" w:type="auto"/>
        <w:tblBorders>
          <w:top w:val="none"/>
          <w:left w:val="none"/>
          <w:bottom w:val="none"/>
          <w:right w:val="none"/>
          <w:insideH w:val="none"/>
          <w:insideV w:val="none"/>
        </w:tblBorders>
        <w:tblLayout/>
      </w:tblPr>
      <w:tblGrid>
        <w:gridCol w:w="2736"/>
        <w:gridCol w:w="3738"/>
        <w:gridCol w:w="1215"/>
        <w:gridCol w:w="2376"/>
        <w:gridCol w:w="2524"/>
        <w:gridCol w:w="3411"/>
      </w:tblGrid>
      <w:tr>
        <w:trPr>
          <w:trHeight w:val="30" w:hRule="atLeast"/>
        </w:trPr>
        <w:tc>
          <w:tcPr>
            <w:tcW w:w="273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73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 тыс. т/год</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w:t>
            </w:r>
          </w:p>
        </w:tc>
      </w:tr>
      <w:tr>
        <w:trPr>
          <w:trHeight w:val="30" w:hRule="atLeast"/>
        </w:trPr>
        <w:tc>
          <w:tcPr>
            <w:tcW w:w="273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целлюлозы и полуцеллюлозы</w:t>
            </w:r>
          </w:p>
        </w:tc>
        <w:tc>
          <w:tcPr>
            <w:tcW w:w="37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75</w:t>
            </w: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7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75 до 150</w:t>
            </w: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7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 до 500</w:t>
            </w: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7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2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бумаги</w:t>
            </w:r>
          </w:p>
        </w:tc>
        <w:tc>
          <w:tcPr>
            <w:tcW w:w="37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2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5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70"/>
    <w:bookmarkStart w:name="637606626" w:id="5171"/>
    <w:p>
      <w:pPr>
        <w:spacing w:before="120" w:after="120" w:line="240"/>
        <w:ind w:left="0"/>
        <w:jc w:val="both"/>
      </w:pPr>
      <w:r>
        <w:rPr>
          <w:rFonts w:hint="default" w:ascii="Times New Roman" w:hAnsi="Times New Roman"/>
          <w:b/>
          <w:i w:val="false"/>
          <w:color w:val="000000"/>
          <w:sz w:val="24"/>
        </w:rPr>
        <w:t>СЗ вблизи предприятий и производств черной металлургии</w:t>
      </w:r>
    </w:p>
    <w:bookmarkEnd w:id="5171"/>
    <w:bookmarkStart w:name="637606627" w:id="517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106</w:t>
      </w:r>
    </w:p>
    <w:bookmarkEnd w:id="5172"/>
    <w:bookmarkStart w:name="637606628" w:id="5173"/>
    <w:tbl>
      <w:tblPr>
        <w:tblW w:w="18660" w:type="auto"/>
        <w:tblCellSpacing w:w="0" w:type="auto"/>
        <w:tblBorders>
          <w:top w:val="none"/>
          <w:left w:val="none"/>
          <w:bottom w:val="none"/>
          <w:right w:val="none"/>
          <w:insideH w:val="none"/>
          <w:insideV w:val="none"/>
        </w:tblBorders>
        <w:tblLayout/>
      </w:tblPr>
      <w:tblGrid>
        <w:gridCol w:w="3353"/>
        <w:gridCol w:w="3200"/>
        <w:gridCol w:w="1242"/>
        <w:gridCol w:w="1291"/>
        <w:gridCol w:w="1641"/>
        <w:gridCol w:w="1641"/>
        <w:gridCol w:w="1641"/>
        <w:gridCol w:w="1991"/>
      </w:tblGrid>
      <w:tr>
        <w:trPr>
          <w:trHeight w:val="30" w:hRule="atLeast"/>
        </w:trPr>
        <w:tc>
          <w:tcPr>
            <w:tcW w:w="335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 тыс. т/год</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2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2000</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2500</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2500</w:t>
            </w:r>
          </w:p>
        </w:tc>
      </w:tr>
      <w:tr>
        <w:trPr>
          <w:trHeight w:val="30" w:hRule="atLeast"/>
        </w:trPr>
        <w:tc>
          <w:tcPr>
            <w:tcW w:w="335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Выплавка чугуна и стали</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1500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7500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7500 до 12000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35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Горнообогатительные комбинаты</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5500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5500 до 10000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10000 до 13000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35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Коксохимпроизводство</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5000 до 12000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35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Ферросплавы</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700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700 до 1000</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3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магнезиальных изделий</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3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Прокат и обработка чугуна и стали</w:t>
            </w:r>
          </w:p>
        </w:tc>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24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9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73"/>
    <w:bookmarkStart w:name="637606629" w:id="5174"/>
    <w:p>
      <w:pPr>
        <w:spacing w:before="120" w:after="120" w:line="240"/>
        <w:ind w:left="0"/>
        <w:jc w:val="both"/>
      </w:pPr>
      <w:r>
        <w:rPr>
          <w:rFonts w:hint="default" w:ascii="Times New Roman" w:hAnsi="Times New Roman"/>
          <w:b/>
          <w:i w:val="false"/>
          <w:color w:val="000000"/>
          <w:sz w:val="24"/>
        </w:rPr>
        <w:t>СЗ вблизи предприятий и производств цветной металлургии</w:t>
      </w:r>
    </w:p>
    <w:bookmarkEnd w:id="5174"/>
    <w:bookmarkStart w:name="637606630" w:id="517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107</w:t>
      </w:r>
    </w:p>
    <w:bookmarkEnd w:id="5175"/>
    <w:bookmarkStart w:name="637606631" w:id="5176"/>
    <w:tbl>
      <w:tblPr>
        <w:tblW w:w="18660" w:type="auto"/>
        <w:tblCellSpacing w:w="0" w:type="auto"/>
        <w:tblBorders>
          <w:top w:val="none"/>
          <w:left w:val="none"/>
          <w:bottom w:val="none"/>
          <w:right w:val="none"/>
          <w:insideH w:val="none"/>
          <w:insideV w:val="none"/>
        </w:tblBorders>
        <w:tblLayout/>
      </w:tblPr>
      <w:tblGrid>
        <w:gridCol w:w="3349"/>
        <w:gridCol w:w="3455"/>
        <w:gridCol w:w="983"/>
        <w:gridCol w:w="1410"/>
        <w:gridCol w:w="1348"/>
        <w:gridCol w:w="1348"/>
        <w:gridCol w:w="1348"/>
        <w:gridCol w:w="1348"/>
        <w:gridCol w:w="1411"/>
      </w:tblGrid>
      <w:tr>
        <w:trPr>
          <w:trHeight w:val="30" w:hRule="atLeast"/>
        </w:trPr>
        <w:tc>
          <w:tcPr>
            <w:tcW w:w="3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3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выпускаемой продукции, тыс. т/год</w:t>
            </w:r>
          </w:p>
        </w:tc>
        <w:tc>
          <w:tcPr>
            <w:tcW w:w="9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4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3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3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2000</w:t>
            </w:r>
          </w:p>
        </w:tc>
        <w:tc>
          <w:tcPr>
            <w:tcW w:w="13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2500</w:t>
            </w:r>
          </w:p>
        </w:tc>
        <w:tc>
          <w:tcPr>
            <w:tcW w:w="13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2500 до 3500</w:t>
            </w:r>
          </w:p>
        </w:tc>
        <w:tc>
          <w:tcPr>
            <w:tcW w:w="14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3500</w:t>
            </w:r>
          </w:p>
        </w:tc>
      </w:tr>
      <w:tr>
        <w:trPr>
          <w:trHeight w:val="30" w:hRule="atLeast"/>
        </w:trPr>
        <w:tc>
          <w:tcPr>
            <w:tcW w:w="334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Алюминия</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 до 500</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2000</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34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Никеля</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 до 5</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 до 25</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 до 1000</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редких металлов</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цинка</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и обработка цветных металлов</w:t>
            </w:r>
          </w:p>
        </w:tc>
        <w:tc>
          <w:tcPr>
            <w:tcW w:w="34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983"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8" w:type="dxa"/>
            <w:tcBorders>
              <w:top w:val="single" w:color="cfcfcf" w:sz="8"/>
              <w:left w:val="single" w:color="cfcfcf" w:sz="8"/>
              <w:bottom w:val="single" w:color="cfcfcf" w:sz="8"/>
              <w:right w:val="single" w:color="cfcfcf" w:sz="8"/>
            </w:tcBorders>
            <w:vAlign w:val="center"/>
          </w:tcPr>
          <w:p>
            <w:pPr>
              <w:spacing w:after="0"/>
              <w:ind w:left="0"/>
              <w:jc w:val="left"/>
            </w:pPr>
          </w:p>
        </w:tc>
        <w:tc>
          <w:tcPr>
            <w:tcW w:w="1411" w:type="dxa"/>
            <w:tcBorders>
              <w:top w:val="single" w:color="cfcfcf" w:sz="8"/>
              <w:left w:val="single" w:color="cfcfcf" w:sz="8"/>
              <w:bottom w:val="single" w:color="cfcfcf" w:sz="8"/>
              <w:right w:val="single" w:color="cfcfcf" w:sz="8"/>
            </w:tcBorders>
            <w:vAlign w:val="center"/>
          </w:tcPr>
          <w:p>
            <w:pPr>
              <w:spacing w:after="0"/>
              <w:ind w:left="0"/>
              <w:jc w:val="left"/>
            </w:pPr>
          </w:p>
        </w:tc>
      </w:tr>
    </w:tbl>
    <w:bookmarkEnd w:id="5176"/>
    <w:bookmarkStart w:name="637606632" w:id="5177"/>
    <w:p>
      <w:pPr>
        <w:spacing w:before="120" w:after="120" w:line="240"/>
        <w:ind w:left="0"/>
        <w:jc w:val="both"/>
      </w:pPr>
      <w:r>
        <w:rPr>
          <w:rFonts w:hint="default" w:ascii="Times New Roman" w:hAnsi="Times New Roman"/>
          <w:b/>
          <w:i w:val="false"/>
          <w:color w:val="000000"/>
          <w:sz w:val="24"/>
        </w:rPr>
        <w:t>СЗ вблизи предприятий по производству строительных материалов</w:t>
      </w:r>
    </w:p>
    <w:bookmarkEnd w:id="5177"/>
    <w:bookmarkStart w:name="637606633" w:id="517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108</w:t>
      </w:r>
    </w:p>
    <w:bookmarkEnd w:id="5178"/>
    <w:bookmarkStart w:name="637606634" w:id="5179"/>
    <w:tbl>
      <w:tblPr>
        <w:tblW w:w="18660" w:type="auto"/>
        <w:tblCellSpacing w:w="0" w:type="auto"/>
        <w:tblBorders>
          <w:top w:val="none"/>
          <w:left w:val="none"/>
          <w:bottom w:val="none"/>
          <w:right w:val="none"/>
          <w:insideH w:val="none"/>
          <w:insideV w:val="none"/>
        </w:tblBorders>
        <w:tblLayout/>
      </w:tblPr>
      <w:tblGrid>
        <w:gridCol w:w="3750"/>
        <w:gridCol w:w="3381"/>
        <w:gridCol w:w="952"/>
        <w:gridCol w:w="1126"/>
        <w:gridCol w:w="1349"/>
        <w:gridCol w:w="1380"/>
        <w:gridCol w:w="1380"/>
        <w:gridCol w:w="1380"/>
        <w:gridCol w:w="1302"/>
      </w:tblGrid>
      <w:tr>
        <w:trPr>
          <w:trHeight w:val="30" w:hRule="atLeast"/>
        </w:trPr>
        <w:tc>
          <w:tcPr>
            <w:tcW w:w="375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38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 тыс. т/год</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9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250</w:t>
            </w:r>
          </w:p>
        </w:tc>
        <w:tc>
          <w:tcPr>
            <w:tcW w:w="11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 до 500</w:t>
            </w:r>
          </w:p>
        </w:tc>
        <w:tc>
          <w:tcPr>
            <w:tcW w:w="134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3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3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2000</w:t>
            </w:r>
          </w:p>
        </w:tc>
        <w:tc>
          <w:tcPr>
            <w:tcW w:w="13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2000 до 3000</w:t>
            </w:r>
          </w:p>
        </w:tc>
        <w:tc>
          <w:tcPr>
            <w:tcW w:w="13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3000</w:t>
            </w:r>
          </w:p>
        </w:tc>
      </w:tr>
      <w:tr>
        <w:trPr>
          <w:trHeight w:val="30" w:hRule="atLeast"/>
        </w:trPr>
        <w:tc>
          <w:tcPr>
            <w:tcW w:w="375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цемента</w:t>
            </w: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 до 500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1500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2500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2500 до 3500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3500</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7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асбеста.</w:t>
            </w: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37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бетонных изделий.</w:t>
            </w:r>
          </w:p>
        </w:tc>
        <w:tc>
          <w:tcPr>
            <w:tcW w:w="33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95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26"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49"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302" w:type="dxa"/>
            <w:tcBorders>
              <w:top w:val="single" w:color="cfcfcf" w:sz="8"/>
              <w:left w:val="single" w:color="cfcfcf" w:sz="8"/>
              <w:bottom w:val="single" w:color="cfcfcf" w:sz="8"/>
              <w:right w:val="single" w:color="cfcfcf" w:sz="8"/>
            </w:tcBorders>
            <w:vAlign w:val="center"/>
          </w:tcPr>
          <w:p>
            <w:pPr>
              <w:spacing w:after="0"/>
              <w:ind w:left="0"/>
              <w:jc w:val="left"/>
            </w:pPr>
          </w:p>
        </w:tc>
      </w:tr>
    </w:tbl>
    <w:bookmarkEnd w:id="5179"/>
    <w:bookmarkStart w:name="637606635" w:id="5180"/>
    <w:p>
      <w:pPr>
        <w:spacing w:before="120" w:after="120" w:line="240"/>
        <w:ind w:left="0"/>
        <w:jc w:val="both"/>
      </w:pPr>
      <w:r>
        <w:rPr>
          <w:rFonts w:hint="default" w:ascii="Times New Roman" w:hAnsi="Times New Roman"/>
          <w:b/>
          <w:i w:val="false"/>
          <w:color w:val="000000"/>
          <w:sz w:val="24"/>
        </w:rPr>
        <w:t>СЗ вблизи машиностроительных предприятий и производств</w:t>
      </w:r>
    </w:p>
    <w:bookmarkEnd w:id="5180"/>
    <w:bookmarkStart w:name="637606636" w:id="518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109</w:t>
      </w:r>
    </w:p>
    <w:bookmarkEnd w:id="5181"/>
    <w:bookmarkStart w:name="637606637" w:id="5182"/>
    <w:tbl>
      <w:tblPr>
        <w:tblW w:w="18660" w:type="auto"/>
        <w:tblCellSpacing w:w="0" w:type="auto"/>
        <w:tblBorders>
          <w:top w:val="none"/>
          <w:left w:val="none"/>
          <w:bottom w:val="none"/>
          <w:right w:val="none"/>
          <w:insideH w:val="none"/>
          <w:insideV w:val="none"/>
        </w:tblBorders>
        <w:tblLayout/>
      </w:tblPr>
      <w:tblGrid>
        <w:gridCol w:w="6142"/>
        <w:gridCol w:w="3658"/>
        <w:gridCol w:w="6200"/>
      </w:tblGrid>
      <w:tr>
        <w:trPr>
          <w:trHeight w:val="30" w:hRule="atLeast"/>
        </w:trPr>
        <w:tc>
          <w:tcPr>
            <w:tcW w:w="614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36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6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w:t>
            </w:r>
          </w:p>
        </w:tc>
      </w:tr>
      <w:tr>
        <w:trPr>
          <w:trHeight w:val="30" w:hRule="atLeast"/>
        </w:trPr>
        <w:tc>
          <w:tcPr>
            <w:tcW w:w="61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36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6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82"/>
    <w:bookmarkStart w:name="637606638" w:id="5183"/>
    <w:p>
      <w:pPr>
        <w:spacing w:before="120" w:after="120" w:line="240"/>
        <w:ind w:left="0"/>
        <w:jc w:val="both"/>
      </w:pPr>
      <w:r>
        <w:rPr>
          <w:rFonts w:hint="default" w:ascii="Times New Roman" w:hAnsi="Times New Roman"/>
          <w:b/>
          <w:i w:val="false"/>
          <w:color w:val="000000"/>
          <w:sz w:val="24"/>
        </w:rPr>
        <w:t>СЗ вблизи предприятий легкой промышленности</w:t>
      </w:r>
    </w:p>
    <w:bookmarkEnd w:id="5183"/>
    <w:bookmarkStart w:name="637606639" w:id="518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110</w:t>
      </w:r>
    </w:p>
    <w:bookmarkEnd w:id="5184"/>
    <w:bookmarkStart w:name="637606640" w:id="5185"/>
    <w:tbl>
      <w:tblPr>
        <w:tblW w:w="18660" w:type="auto"/>
        <w:tblCellSpacing w:w="0" w:type="auto"/>
        <w:tblBorders>
          <w:top w:val="none"/>
          <w:left w:val="none"/>
          <w:bottom w:val="none"/>
          <w:right w:val="none"/>
          <w:insideH w:val="none"/>
          <w:insideV w:val="none"/>
        </w:tblBorders>
        <w:tblLayout/>
      </w:tblPr>
      <w:tblGrid>
        <w:gridCol w:w="4593"/>
        <w:gridCol w:w="3939"/>
        <w:gridCol w:w="1650"/>
        <w:gridCol w:w="2187"/>
        <w:gridCol w:w="3631"/>
      </w:tblGrid>
      <w:tr>
        <w:trPr>
          <w:trHeight w:val="30" w:hRule="atLeast"/>
        </w:trPr>
        <w:tc>
          <w:tcPr>
            <w:tcW w:w="459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393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250</w:t>
            </w:r>
          </w:p>
        </w:tc>
        <w:tc>
          <w:tcPr>
            <w:tcW w:w="21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 до 500</w:t>
            </w:r>
          </w:p>
        </w:tc>
        <w:tc>
          <w:tcPr>
            <w:tcW w:w="36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w:t>
            </w:r>
          </w:p>
        </w:tc>
      </w:tr>
      <w:tr>
        <w:trPr>
          <w:trHeight w:val="30" w:hRule="atLeast"/>
        </w:trPr>
        <w:tc>
          <w:tcPr>
            <w:tcW w:w="45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Обработка тканей</w:t>
            </w:r>
          </w:p>
        </w:tc>
        <w:tc>
          <w:tcPr>
            <w:tcW w:w="39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1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6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45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Производство искусственных кож и пленочных материалов</w:t>
            </w:r>
          </w:p>
        </w:tc>
        <w:tc>
          <w:tcPr>
            <w:tcW w:w="39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1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6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85"/>
    <w:bookmarkStart w:name="637606641" w:id="5186"/>
    <w:p>
      <w:pPr>
        <w:spacing w:before="120" w:after="120" w:line="240"/>
        <w:ind w:left="0"/>
        <w:jc w:val="both"/>
      </w:pPr>
      <w:r>
        <w:rPr>
          <w:rFonts w:hint="default" w:ascii="Times New Roman" w:hAnsi="Times New Roman"/>
          <w:b/>
          <w:i w:val="false"/>
          <w:color w:val="000000"/>
          <w:sz w:val="24"/>
        </w:rPr>
        <w:t>СЗ вблизи предприятий по добыче руд и нерудных ископаемых</w:t>
      </w:r>
    </w:p>
    <w:bookmarkEnd w:id="5186"/>
    <w:bookmarkStart w:name="637606642" w:id="518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111</w:t>
      </w:r>
    </w:p>
    <w:bookmarkEnd w:id="5187"/>
    <w:bookmarkStart w:name="637606643" w:id="5188"/>
    <w:tbl>
      <w:tblPr>
        <w:tblW w:w="18660" w:type="auto"/>
        <w:tblCellSpacing w:w="0" w:type="auto"/>
        <w:tblBorders>
          <w:top w:val="none"/>
          <w:left w:val="none"/>
          <w:bottom w:val="none"/>
          <w:right w:val="none"/>
          <w:insideH w:val="none"/>
          <w:insideV w:val="none"/>
        </w:tblBorders>
        <w:tblLayout/>
      </w:tblPr>
      <w:tblGrid>
        <w:gridCol w:w="3035"/>
        <w:gridCol w:w="4586"/>
        <w:gridCol w:w="1916"/>
        <w:gridCol w:w="3290"/>
        <w:gridCol w:w="3173"/>
      </w:tblGrid>
      <w:tr>
        <w:trPr>
          <w:trHeight w:val="30" w:hRule="atLeast"/>
        </w:trPr>
        <w:tc>
          <w:tcPr>
            <w:tcW w:w="303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Подотрасль</w:t>
            </w:r>
          </w:p>
        </w:tc>
        <w:tc>
          <w:tcPr>
            <w:tcW w:w="458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Расчетный объем выпускаемой продукции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9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250</w:t>
            </w:r>
          </w:p>
        </w:tc>
        <w:tc>
          <w:tcPr>
            <w:tcW w:w="32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 до 500</w:t>
            </w:r>
          </w:p>
        </w:tc>
        <w:tc>
          <w:tcPr>
            <w:tcW w:w="3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w:t>
            </w:r>
          </w:p>
        </w:tc>
      </w:tr>
      <w:tr>
        <w:trPr>
          <w:trHeight w:val="30" w:hRule="atLeast"/>
        </w:trPr>
        <w:tc>
          <w:tcPr>
            <w:tcW w:w="3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Железная руда.</w:t>
            </w:r>
          </w:p>
        </w:tc>
        <w:tc>
          <w:tcPr>
            <w:tcW w:w="45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9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2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Уголь*</w:t>
            </w:r>
          </w:p>
        </w:tc>
        <w:tc>
          <w:tcPr>
            <w:tcW w:w="45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объема</w:t>
            </w:r>
          </w:p>
        </w:tc>
        <w:tc>
          <w:tcPr>
            <w:tcW w:w="19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2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1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88"/>
    <w:bookmarkStart w:name="637606644" w:id="5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Распространяется на определение СЗ вблизи терриконов.</w:t>
      </w:r>
    </w:p>
    <w:bookmarkEnd w:id="5189"/>
    <w:bookmarkStart w:name="637606645" w:id="5190"/>
    <w:p>
      <w:pPr>
        <w:spacing w:before="120" w:after="120" w:line="240"/>
        <w:ind w:left="0"/>
        <w:jc w:val="both"/>
      </w:pPr>
      <w:r>
        <w:rPr>
          <w:rFonts w:hint="default" w:ascii="Times New Roman" w:hAnsi="Times New Roman"/>
          <w:b/>
          <w:i w:val="false"/>
          <w:color w:val="000000"/>
          <w:sz w:val="24"/>
        </w:rPr>
        <w:t>СЗ вблизи ТЭС и промышленных котельных</w:t>
      </w:r>
    </w:p>
    <w:bookmarkEnd w:id="5190"/>
    <w:bookmarkStart w:name="637606646" w:id="519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112</w:t>
      </w:r>
    </w:p>
    <w:bookmarkEnd w:id="5191"/>
    <w:bookmarkStart w:name="637606647" w:id="5192"/>
    <w:tbl>
      <w:tblPr>
        <w:tblW w:w="0" w:type="auto"/>
        <w:tblCellSpacing w:w="0" w:type="auto"/>
        <w:tblBorders>
          <w:top w:val="none"/>
          <w:left w:val="none"/>
          <w:bottom w:val="none"/>
          <w:right w:val="none"/>
          <w:insideH w:val="none"/>
          <w:insideV w:val="none"/>
        </w:tblBorders>
        <w:tblLayout/>
      </w:tblPr>
      <w:tblGrid>
        <w:gridCol w:w="3200"/>
        <w:gridCol w:w="2560"/>
        <w:gridCol w:w="1600"/>
        <w:gridCol w:w="1280"/>
        <w:gridCol w:w="1120"/>
        <w:gridCol w:w="1440"/>
        <w:gridCol w:w="1600"/>
        <w:gridCol w:w="1600"/>
        <w:gridCol w:w="1600"/>
      </w:tblGrid>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топлива</w:t>
            </w:r>
          </w:p>
        </w:tc>
        <w:tc>
          <w:tcPr>
            <w:tcW w:w="25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МВт</w:t>
            </w:r>
          </w:p>
        </w:tc>
        <w:tc>
          <w:tcPr>
            <w:tcW w:w="16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Высота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дымовых труб, 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250</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250 до 500</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 до 1000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 до 1500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1500 до 3000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3000</w:t>
            </w:r>
          </w:p>
        </w:tc>
      </w:tr>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ТЭС и котельные на углях при зольности менее 30 %, мазуте, газе</w:t>
            </w:r>
          </w:p>
        </w:tc>
        <w:tc>
          <w:tcPr>
            <w:tcW w:w="2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Независимо от мощности</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Любая</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ТЭС и котельные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на углях при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зольности более 30 %</w:t>
            </w:r>
          </w:p>
        </w:tc>
        <w:tc>
          <w:tcPr>
            <w:tcW w:w="2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Любая</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5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4000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180</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180</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ТЭС и котельные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на сланцах</w:t>
            </w:r>
          </w:p>
        </w:tc>
        <w:tc>
          <w:tcPr>
            <w:tcW w:w="25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Любая</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25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2000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180</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180</w:t>
            </w:r>
          </w:p>
        </w:tc>
        <w:tc>
          <w:tcPr>
            <w:tcW w:w="12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1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92"/>
    <w:bookmarkStart w:name="637606648" w:id="5193"/>
    <w:p>
      <w:pPr>
        <w:spacing w:before="120" w:after="120" w:line="240"/>
        <w:ind w:left="0"/>
        <w:jc w:val="both"/>
      </w:pPr>
      <w:r>
        <w:rPr>
          <w:rFonts w:hint="default" w:ascii="Times New Roman" w:hAnsi="Times New Roman"/>
          <w:b/>
          <w:i w:val="false"/>
          <w:color w:val="000000"/>
          <w:sz w:val="24"/>
        </w:rPr>
        <w:t>СЗ вблизи отвалов пылящих материалов, складских зданий и сооружений, канализационно-очистных сооружений (золоотвалы,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минеральныхь удобрений и ядохимикатов, гидрошахты и обогатительные фабрики, станции аэрации и другие канализационно-очистные сооружения)</w:t>
      </w:r>
    </w:p>
    <w:bookmarkEnd w:id="5193"/>
    <w:bookmarkStart w:name="637606649" w:id="519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113</w:t>
      </w:r>
    </w:p>
    <w:bookmarkEnd w:id="5194"/>
    <w:bookmarkStart w:name="637606650" w:id="5195"/>
    <w:tbl>
      <w:tblPr>
        <w:tblW w:w="18660" w:type="auto"/>
        <w:tblCellSpacing w:w="0" w:type="auto"/>
        <w:tblBorders>
          <w:top w:val="none"/>
          <w:left w:val="none"/>
          <w:bottom w:val="none"/>
          <w:right w:val="none"/>
          <w:insideH w:val="none"/>
          <w:insideV w:val="none"/>
        </w:tblBorders>
        <w:tblLayout/>
      </w:tblPr>
      <w:tblGrid>
        <w:gridCol w:w="3945"/>
        <w:gridCol w:w="4502"/>
        <w:gridCol w:w="7553"/>
      </w:tblGrid>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источника загрязнения, м</w:t>
            </w:r>
          </w:p>
        </w:tc>
      </w:tr>
      <w:tr>
        <w:trPr>
          <w:trHeight w:val="30" w:hRule="atLeast"/>
        </w:trPr>
        <w:tc>
          <w:tcPr>
            <w:tcW w:w="3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200</w:t>
            </w:r>
          </w:p>
        </w:tc>
        <w:tc>
          <w:tcPr>
            <w:tcW w:w="45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200 до 600</w:t>
            </w:r>
          </w:p>
        </w:tc>
        <w:tc>
          <w:tcPr>
            <w:tcW w:w="75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600</w:t>
            </w:r>
          </w:p>
        </w:tc>
      </w:tr>
      <w:tr>
        <w:trPr>
          <w:trHeight w:val="30" w:hRule="atLeast"/>
        </w:trPr>
        <w:tc>
          <w:tcPr>
            <w:tcW w:w="39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5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75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95"/>
    <w:bookmarkStart w:name="637606651" w:id="5196"/>
    <w:p>
      <w:pPr>
        <w:spacing w:before="120" w:after="120" w:line="240"/>
        <w:ind w:left="0"/>
        <w:jc w:val="both"/>
      </w:pPr>
      <w:r>
        <w:rPr>
          <w:rFonts w:hint="default" w:ascii="Times New Roman" w:hAnsi="Times New Roman"/>
          <w:b/>
          <w:i w:val="false"/>
          <w:color w:val="000000"/>
          <w:sz w:val="24"/>
        </w:rPr>
        <w:t>СЗ вблизи автодорог с интенсивным использованием в зимнее время химических противогололедных средств</w:t>
      </w:r>
    </w:p>
    <w:bookmarkEnd w:id="5196"/>
    <w:bookmarkStart w:name="637606652" w:id="519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114</w:t>
      </w:r>
    </w:p>
    <w:bookmarkEnd w:id="5197"/>
    <w:bookmarkStart w:name="637606653" w:id="5198"/>
    <w:tbl>
      <w:tblPr>
        <w:tblW w:w="18660" w:type="auto"/>
        <w:tblCellSpacing w:w="0" w:type="auto"/>
        <w:tblBorders>
          <w:top w:val="none"/>
          <w:left w:val="none"/>
          <w:bottom w:val="none"/>
          <w:right w:val="none"/>
          <w:insideH w:val="none"/>
          <w:insideV w:val="none"/>
        </w:tblBorders>
        <w:tblLayout/>
      </w:tblPr>
      <w:tblGrid>
        <w:gridCol w:w="2843"/>
        <w:gridCol w:w="3914"/>
        <w:gridCol w:w="9243"/>
      </w:tblGrid>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при расстоянии от автодорог, м</w:t>
            </w:r>
          </w:p>
        </w:tc>
      </w:tr>
      <w:tr>
        <w:trPr>
          <w:trHeight w:val="30" w:hRule="atLeast"/>
        </w:trPr>
        <w:tc>
          <w:tcPr>
            <w:tcW w:w="28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25</w:t>
            </w:r>
          </w:p>
        </w:tc>
        <w:tc>
          <w:tcPr>
            <w:tcW w:w="39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25 до 100</w:t>
            </w:r>
          </w:p>
        </w:tc>
        <w:tc>
          <w:tcPr>
            <w:tcW w:w="92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100</w:t>
            </w:r>
          </w:p>
        </w:tc>
      </w:tr>
      <w:tr>
        <w:trPr>
          <w:trHeight w:val="30" w:hRule="atLeast"/>
        </w:trPr>
        <w:tc>
          <w:tcPr>
            <w:tcW w:w="28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9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92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198"/>
    <w:bookmarkStart w:name="637606654" w:id="5199"/>
    <w:p>
      <w:pPr>
        <w:spacing w:before="120" w:after="120" w:line="240"/>
        <w:ind w:left="0"/>
        <w:jc w:val="both"/>
      </w:pPr>
      <w:r>
        <w:rPr>
          <w:rFonts w:hint="default" w:ascii="Times New Roman" w:hAnsi="Times New Roman"/>
          <w:b/>
          <w:i w:val="false"/>
          <w:color w:val="000000"/>
          <w:sz w:val="24"/>
        </w:rPr>
        <w:t>СЗ в прибрежной зоне морей и озер площадью более 10000 м</w:t>
      </w:r>
      <w:r>
        <w:rPr>
          <w:rFonts w:hint="default" w:ascii="Times New Roman" w:hAnsi="Times New Roman"/>
          <w:b/>
          <w:i w:val="false"/>
          <w:color w:val="000000"/>
        </w:rPr>
        <w:t>2</w:t>
      </w:r>
    </w:p>
    <w:bookmarkEnd w:id="5199"/>
    <w:bookmarkStart w:name="637606655" w:id="520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115</w:t>
      </w:r>
    </w:p>
    <w:bookmarkEnd w:id="5200"/>
    <w:bookmarkStart w:name="637606656" w:id="5201"/>
    <w:tbl>
      <w:tblPr>
        <w:tblW w:w="0" w:type="auto"/>
        <w:tblCellSpacing w:w="0" w:type="auto"/>
        <w:tblBorders>
          <w:top w:val="none"/>
          <w:left w:val="none"/>
          <w:bottom w:val="none"/>
          <w:right w:val="none"/>
          <w:insideH w:val="none"/>
          <w:insideV w:val="none"/>
        </w:tblBorders>
        <w:tblLayout/>
      </w:tblPr>
      <w:tblGrid>
        <w:gridCol w:w="3200"/>
        <w:gridCol w:w="4800"/>
        <w:gridCol w:w="6400"/>
        <w:gridCol w:w="1600"/>
      </w:tblGrid>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водоема</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Расчетная соленость воды, г/л</w:t>
            </w: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от береговой линии, км</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w:t>
            </w:r>
          </w:p>
        </w:tc>
      </w:tr>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Незасоленный</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2</w:t>
            </w: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0,1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Слабозасоленный</w:t>
            </w:r>
          </w:p>
        </w:tc>
        <w:tc>
          <w:tcPr>
            <w:tcW w:w="48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 до 10</w:t>
            </w: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0,1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0,1 до 1,0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Среднезасоленный</w:t>
            </w:r>
          </w:p>
        </w:tc>
        <w:tc>
          <w:tcPr>
            <w:tcW w:w="48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20</w:t>
            </w: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0,1</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0,1 до 1,0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5,0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Сильнозасоленный</w:t>
            </w:r>
          </w:p>
        </w:tc>
        <w:tc>
          <w:tcPr>
            <w:tcW w:w="48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20 до 40</w:t>
            </w: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 до 5,0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5,0 до 10,0</w:t>
            </w:r>
          </w:p>
        </w:tc>
        <w:tc>
          <w:tcPr>
            <w:tcW w:w="16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bl>
    <w:bookmarkEnd w:id="5201"/>
    <w:bookmarkStart w:name="637606657" w:id="5202"/>
    <w:p>
      <w:pPr>
        <w:spacing w:before="120" w:after="120" w:line="240"/>
        <w:ind w:left="0"/>
        <w:jc w:val="both"/>
      </w:pPr>
      <w:r>
        <w:rPr>
          <w:rFonts w:hint="default" w:ascii="Times New Roman" w:hAnsi="Times New Roman"/>
          <w:b/>
          <w:i w:val="false"/>
          <w:color w:val="000000"/>
          <w:sz w:val="24"/>
        </w:rPr>
        <w:t>СЗ вблизи градирен и брызгальных бассейнов с удельной проводимостью циркуляционной воды менее 1000 мкСм/см</w:t>
      </w:r>
    </w:p>
    <w:bookmarkEnd w:id="5202"/>
    <w:bookmarkStart w:name="637606658" w:id="520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116</w:t>
      </w:r>
    </w:p>
    <w:bookmarkEnd w:id="5203"/>
    <w:bookmarkStart w:name="637606659" w:id="5204"/>
    <w:tbl>
      <w:tblPr>
        <w:tblW w:w="18780" w:type="auto"/>
        <w:tblCellSpacing w:w="0" w:type="auto"/>
        <w:tblBorders>
          <w:top w:val="none"/>
          <w:left w:val="none"/>
          <w:bottom w:val="none"/>
          <w:right w:val="none"/>
          <w:insideH w:val="none"/>
          <w:insideV w:val="none"/>
        </w:tblBorders>
        <w:tblLayout/>
      </w:tblPr>
      <w:tblGrid>
        <w:gridCol w:w="1818"/>
        <w:gridCol w:w="4678"/>
        <w:gridCol w:w="9504"/>
      </w:tblGrid>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района</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от градирен (брызгального бассейна), м</w:t>
            </w:r>
          </w:p>
        </w:tc>
      </w:tr>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0"/>
              <w:jc w:val="left"/>
            </w:pPr>
          </w:p>
        </w:tc>
        <w:tc>
          <w:tcPr>
            <w:tcW w:w="46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150</w:t>
            </w:r>
          </w:p>
        </w:tc>
        <w:tc>
          <w:tcPr>
            <w:tcW w:w="95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w:t>
            </w:r>
          </w:p>
        </w:tc>
      </w:tr>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46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95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46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95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6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95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18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46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95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bl>
    <w:bookmarkEnd w:id="5204"/>
    <w:bookmarkStart w:name="637606660" w:id="5205"/>
    <w:p>
      <w:pPr>
        <w:spacing w:before="120" w:after="120" w:line="240"/>
        <w:ind w:left="0"/>
        <w:jc w:val="both"/>
      </w:pPr>
      <w:r>
        <w:rPr>
          <w:rFonts w:hint="default" w:ascii="Times New Roman" w:hAnsi="Times New Roman"/>
          <w:b/>
          <w:i w:val="false"/>
          <w:color w:val="000000"/>
          <w:sz w:val="24"/>
        </w:rPr>
        <w:t>СЗ вблизи градирен и брызгальных бассейнов с удельной проводимостью циркуляционной воды от 1000 до 3000 мкСм/см</w:t>
      </w:r>
    </w:p>
    <w:bookmarkEnd w:id="5205"/>
    <w:bookmarkStart w:name="637606661" w:id="520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117</w:t>
      </w:r>
    </w:p>
    <w:bookmarkEnd w:id="5206"/>
    <w:bookmarkStart w:name="637606662" w:id="5207"/>
    <w:tbl>
      <w:tblPr>
        <w:tblW w:w="18660" w:type="auto"/>
        <w:tblCellSpacing w:w="0" w:type="auto"/>
        <w:tblBorders>
          <w:top w:val="none"/>
          <w:left w:val="none"/>
          <w:bottom w:val="none"/>
          <w:right w:val="none"/>
          <w:insideH w:val="none"/>
          <w:insideV w:val="none"/>
        </w:tblBorders>
        <w:tblLayout/>
      </w:tblPr>
      <w:tblGrid>
        <w:gridCol w:w="1815"/>
        <w:gridCol w:w="2892"/>
        <w:gridCol w:w="2859"/>
        <w:gridCol w:w="8434"/>
      </w:tblGrid>
      <w:tr>
        <w:trPr>
          <w:trHeight w:val="30" w:hRule="atLeast"/>
        </w:trPr>
        <w:tc>
          <w:tcPr>
            <w:tcW w:w="181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района</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от градирен (брызгального бассейна), м</w:t>
            </w:r>
          </w:p>
        </w:tc>
      </w:tr>
      <w:tr>
        <w:trPr>
          <w:trHeight w:val="30" w:hRule="atLeast"/>
        </w:trPr>
        <w:tc>
          <w:tcPr>
            <w:tcW w:w="0" w:type="auto"/>
            <w:vMerge/>
            <w:tcBorders>
              <w:top w:val="nil"/>
              <w:left w:val="single" w:color="cfcfcf" w:sz="8"/>
              <w:bottom w:val="single" w:color="cfcfcf" w:sz="8"/>
              <w:right w:val="single" w:color="cfcfcf" w:sz="8"/>
            </w:tcBorders>
          </w:tcP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150</w:t>
            </w:r>
          </w:p>
        </w:tc>
        <w:tc>
          <w:tcPr>
            <w:tcW w:w="28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150 до 600</w:t>
            </w:r>
          </w:p>
        </w:tc>
        <w:tc>
          <w:tcPr>
            <w:tcW w:w="84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600</w:t>
            </w:r>
          </w:p>
        </w:tc>
      </w:tr>
      <w:tr>
        <w:trPr>
          <w:trHeight w:val="30" w:hRule="atLeast"/>
        </w:trPr>
        <w:tc>
          <w:tcPr>
            <w:tcW w:w="1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8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84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1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8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84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1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8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84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18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8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84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bl>
    <w:bookmarkEnd w:id="5207"/>
    <w:bookmarkStart w:name="637606663" w:id="5208"/>
    <w:p>
      <w:pPr>
        <w:spacing w:before="120" w:after="120" w:line="240"/>
        <w:ind w:left="0"/>
        <w:jc w:val="both"/>
      </w:pPr>
      <w:r>
        <w:rPr>
          <w:rFonts w:hint="default" w:ascii="Times New Roman" w:hAnsi="Times New Roman"/>
          <w:b/>
          <w:i w:val="false"/>
          <w:color w:val="000000"/>
          <w:sz w:val="24"/>
        </w:rPr>
        <w:t>Расчетная СЗ при наложении загрязнений от двух независимых источников</w:t>
      </w:r>
    </w:p>
    <w:bookmarkEnd w:id="5208"/>
    <w:bookmarkStart w:name="637606664" w:id="520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118</w:t>
      </w:r>
    </w:p>
    <w:bookmarkEnd w:id="5209"/>
    <w:bookmarkStart w:name="637606665" w:id="5210"/>
    <w:tbl>
      <w:tblPr>
        <w:tblW w:w="18660" w:type="auto"/>
        <w:tblCellSpacing w:w="0" w:type="auto"/>
        <w:tblBorders>
          <w:top w:val="none"/>
          <w:left w:val="none"/>
          <w:bottom w:val="none"/>
          <w:right w:val="none"/>
          <w:insideH w:val="none"/>
          <w:insideV w:val="none"/>
        </w:tblBorders>
        <w:tblLayout/>
      </w:tblPr>
      <w:tblGrid>
        <w:gridCol w:w="3732"/>
        <w:gridCol w:w="3054"/>
        <w:gridCol w:w="3258"/>
        <w:gridCol w:w="5956"/>
      </w:tblGrid>
      <w:tr>
        <w:trPr>
          <w:trHeight w:val="30" w:hRule="atLeast"/>
        </w:trPr>
        <w:tc>
          <w:tcPr>
            <w:tcW w:w="373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СЗ от первого источника</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Расчетная СЗ при степени загрязнения от второго источника</w:t>
            </w:r>
          </w:p>
        </w:tc>
      </w:tr>
      <w:tr>
        <w:trPr>
          <w:trHeight w:val="30" w:hRule="atLeast"/>
        </w:trPr>
        <w:tc>
          <w:tcPr>
            <w:tcW w:w="0" w:type="auto"/>
            <w:vMerge/>
            <w:tcBorders>
              <w:top w:val="nil"/>
              <w:left w:val="single" w:color="cfcfcf" w:sz="8"/>
              <w:bottom w:val="single" w:color="cfcfcf" w:sz="8"/>
              <w:right w:val="single" w:color="cfcfcf" w:sz="8"/>
            </w:tcBorders>
          </w:tcPr>
          <w:p/>
        </w:tc>
        <w:tc>
          <w:tcPr>
            <w:tcW w:w="3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2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59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37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2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59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37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2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59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r>
        <w:trPr>
          <w:trHeight w:val="30" w:hRule="atLeast"/>
        </w:trPr>
        <w:tc>
          <w:tcPr>
            <w:tcW w:w="37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3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32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595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r>
    </w:tbl>
    <w:bookmarkEnd w:id="5210"/>
    <w:bookmarkStart w:name="637606666" w:id="5211"/>
    <w:p>
      <w:pPr>
        <w:spacing w:before="120" w:after="120" w:line="240"/>
        <w:ind w:left="0"/>
        <w:jc w:val="both"/>
      </w:pPr>
      <w:r>
        <w:rPr>
          <w:rFonts w:hint="default" w:ascii="Times New Roman" w:hAnsi="Times New Roman"/>
          <w:b/>
          <w:i w:val="false"/>
          <w:color w:val="000000"/>
          <w:sz w:val="24"/>
        </w:rPr>
        <w:t>Коэффициенты использования k</w:t>
      </w:r>
      <w:r>
        <w:rPr>
          <w:rFonts w:hint="default" w:ascii="Times New Roman" w:hAnsi="Times New Roman"/>
          <w:b/>
          <w:i w:val="false"/>
          <w:color w:val="000000"/>
          <w:vertAlign w:val="subscript"/>
        </w:rPr>
        <w:t>и</w:t>
      </w:r>
      <w:r>
        <w:rPr>
          <w:rFonts w:hint="default" w:ascii="Times New Roman" w:hAnsi="Times New Roman"/>
          <w:b/>
          <w:i w:val="false"/>
          <w:color w:val="000000"/>
          <w:sz w:val="24"/>
        </w:rPr>
        <w:t xml:space="preserve"> подвесных тарельчатых изоляторов со слабо развитой нижней поверхностью изоляционной детали</w:t>
      </w:r>
    </w:p>
    <w:bookmarkEnd w:id="5211"/>
    <w:bookmarkStart w:name="637606667" w:id="521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119</w:t>
      </w:r>
    </w:p>
    <w:bookmarkEnd w:id="5212"/>
    <w:bookmarkStart w:name="637606668" w:id="5213"/>
    <w:tbl>
      <w:tblPr>
        <w:tblW w:w="18660" w:type="auto"/>
        <w:tblCellSpacing w:w="0" w:type="auto"/>
        <w:tblBorders>
          <w:top w:val="none"/>
          <w:left w:val="none"/>
          <w:bottom w:val="none"/>
          <w:right w:val="none"/>
          <w:insideH w:val="none"/>
          <w:insideV w:val="none"/>
        </w:tblBorders>
        <w:tblLayout/>
      </w:tblPr>
      <w:tblGrid>
        <w:gridCol w:w="8703"/>
        <w:gridCol w:w="7297"/>
      </w:tblGrid>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/d</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k</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p>
        </w:tc>
      </w:tr>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0,90 до 1,05 включительно</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1,05 до 1,10 включительно</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r>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1,10 до 1,20 включительно</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1,20 до 1,30 включительно</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r>
      <w:tr>
        <w:trPr>
          <w:trHeight w:val="30" w:hRule="atLeast"/>
        </w:trPr>
        <w:tc>
          <w:tcPr>
            <w:tcW w:w="87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1,30 до 1,40 включительно</w:t>
            </w:r>
          </w:p>
        </w:tc>
        <w:tc>
          <w:tcPr>
            <w:tcW w:w="7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r>
    </w:tbl>
    <w:bookmarkEnd w:id="5213"/>
    <w:bookmarkStart w:name="637606669" w:id="5214"/>
    <w:p>
      <w:pPr>
        <w:spacing w:before="120" w:after="120" w:line="240"/>
        <w:ind w:left="0"/>
        <w:jc w:val="both"/>
      </w:pPr>
      <w:r>
        <w:rPr>
          <w:rFonts w:hint="default" w:ascii="Times New Roman" w:hAnsi="Times New Roman"/>
          <w:b/>
          <w:i w:val="false"/>
          <w:color w:val="000000"/>
          <w:sz w:val="24"/>
        </w:rPr>
        <w:t>Коэффициенты использования kи подвесных тарельчатых изоляторов специального исполнения</w:t>
      </w:r>
    </w:p>
    <w:bookmarkEnd w:id="5214"/>
    <w:bookmarkStart w:name="637606670" w:id="521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120</w:t>
      </w:r>
    </w:p>
    <w:bookmarkEnd w:id="5215"/>
    <w:bookmarkStart w:name="637606671" w:id="5216"/>
    <w:tbl>
      <w:tblPr>
        <w:tblW w:w="18660" w:type="auto"/>
        <w:tblCellSpacing w:w="0" w:type="auto"/>
        <w:tblBorders>
          <w:top w:val="none"/>
          <w:left w:val="none"/>
          <w:bottom w:val="none"/>
          <w:right w:val="none"/>
          <w:insideH w:val="none"/>
          <w:insideV w:val="none"/>
        </w:tblBorders>
        <w:tblLayout/>
      </w:tblPr>
      <w:tblGrid>
        <w:gridCol w:w="11352"/>
        <w:gridCol w:w="4648"/>
      </w:tblGrid>
      <w:tr>
        <w:trPr>
          <w:trHeight w:val="30" w:hRule="atLeast"/>
        </w:trPr>
        <w:tc>
          <w:tcPr>
            <w:tcW w:w="113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Конфигурация изолятора</w:t>
            </w:r>
          </w:p>
        </w:tc>
        <w:tc>
          <w:tcPr>
            <w:tcW w:w="46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k</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p>
        </w:tc>
      </w:tr>
      <w:tr>
        <w:trPr>
          <w:trHeight w:val="30" w:hRule="atLeast"/>
        </w:trPr>
        <w:tc>
          <w:tcPr>
            <w:tcW w:w="113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Двукрылая</w:t>
            </w:r>
          </w:p>
        </w:tc>
        <w:tc>
          <w:tcPr>
            <w:tcW w:w="46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r>
      <w:tr>
        <w:trPr>
          <w:trHeight w:val="30" w:hRule="atLeast"/>
        </w:trPr>
        <w:tc>
          <w:tcPr>
            <w:tcW w:w="113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увеличенным вылетом ребра на нижней поверхности</w:t>
            </w:r>
          </w:p>
        </w:tc>
        <w:tc>
          <w:tcPr>
            <w:tcW w:w="46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r>
      <w:tr>
        <w:trPr>
          <w:trHeight w:val="30" w:hRule="atLeast"/>
        </w:trPr>
        <w:tc>
          <w:tcPr>
            <w:tcW w:w="113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Аэродинамического профиля (конусная, полусферическая)</w:t>
            </w:r>
          </w:p>
        </w:tc>
        <w:tc>
          <w:tcPr>
            <w:tcW w:w="46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113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Колоколообразная с гладкой внутренней и ребристой наружной поверхностями</w:t>
            </w:r>
          </w:p>
        </w:tc>
        <w:tc>
          <w:tcPr>
            <w:tcW w:w="46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r>
    </w:tbl>
    <w:bookmarkEnd w:id="5216"/>
    <w:bookmarkStart w:name="637606672" w:id="5217"/>
    <w:p>
      <w:pPr>
        <w:spacing w:before="120" w:after="120" w:line="240"/>
        <w:ind w:left="0"/>
        <w:jc w:val="both"/>
      </w:pPr>
      <w:r>
        <w:rPr>
          <w:rFonts w:hint="default" w:ascii="Times New Roman" w:hAnsi="Times New Roman"/>
          <w:b/>
          <w:i w:val="false"/>
          <w:color w:val="000000"/>
          <w:sz w:val="24"/>
        </w:rPr>
        <w:t>Коэффициенты использования одиночных изоляционных колонок, опорных и подвесных стержневых изоляторов</w:t>
      </w:r>
    </w:p>
    <w:bookmarkEnd w:id="5217"/>
    <w:bookmarkStart w:name="637606673" w:id="521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121</w:t>
      </w:r>
    </w:p>
    <w:bookmarkEnd w:id="5218"/>
    <w:bookmarkStart w:name="637606674" w:id="5219"/>
    <w:tbl>
      <w:tblPr>
        <w:tblW w:w="18660" w:type="auto"/>
        <w:tblCellSpacing w:w="0" w:type="auto"/>
        <w:tblBorders>
          <w:top w:val="none"/>
          <w:left w:val="none"/>
          <w:bottom w:val="none"/>
          <w:right w:val="none"/>
          <w:insideH w:val="none"/>
          <w:insideV w:val="none"/>
        </w:tblBorders>
        <w:tblLayout/>
      </w:tblPr>
      <w:tblGrid>
        <w:gridCol w:w="2107"/>
        <w:gridCol w:w="2159"/>
        <w:gridCol w:w="2317"/>
        <w:gridCol w:w="2354"/>
        <w:gridCol w:w="2354"/>
        <w:gridCol w:w="2354"/>
        <w:gridCol w:w="2355"/>
      </w:tblGrid>
      <w:tr>
        <w:trPr>
          <w:trHeight w:val="30" w:hRule="atLeast"/>
        </w:trPr>
        <w:tc>
          <w:tcPr>
            <w:tcW w:w="21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/h</w:t>
            </w:r>
          </w:p>
        </w:tc>
        <w:tc>
          <w:tcPr>
            <w:tcW w:w="21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2,5</w:t>
            </w:r>
          </w:p>
        </w:tc>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2,5-3,00</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3,01-3,30</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3,31-3,50</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3,51-3,71</w:t>
            </w:r>
          </w:p>
        </w:tc>
        <w:tc>
          <w:tcPr>
            <w:tcW w:w="23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3,71-4,00</w:t>
            </w:r>
          </w:p>
        </w:tc>
      </w:tr>
      <w:tr>
        <w:trPr>
          <w:trHeight w:val="30" w:hRule="atLeast"/>
        </w:trPr>
        <w:tc>
          <w:tcPr>
            <w:tcW w:w="21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k</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к</w:t>
            </w:r>
          </w:p>
        </w:tc>
        <w:tc>
          <w:tcPr>
            <w:tcW w:w="21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3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23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r>
    </w:tbl>
    <w:bookmarkEnd w:id="5219"/>
    <w:bookmarkStart w:name="637606675" w:id="5220"/>
    <w:p>
      <w:pPr>
        <w:spacing w:before="120" w:after="120" w:line="240"/>
        <w:ind w:left="0"/>
        <w:jc w:val="both"/>
      </w:pPr>
      <w:r>
        <w:rPr>
          <w:rFonts w:hint="default" w:ascii="Times New Roman" w:hAnsi="Times New Roman"/>
          <w:b/>
          <w:i w:val="false"/>
          <w:color w:val="000000"/>
          <w:sz w:val="24"/>
        </w:rPr>
        <w:t>Коэффициенты использования k</w:t>
      </w:r>
      <w:r>
        <w:rPr>
          <w:rFonts w:hint="default" w:ascii="Times New Roman" w:hAnsi="Times New Roman"/>
          <w:b/>
          <w:i w:val="false"/>
          <w:color w:val="000000"/>
          <w:vertAlign w:val="subscript"/>
        </w:rPr>
        <w:t>к</w:t>
      </w:r>
      <w:r>
        <w:rPr>
          <w:rFonts w:hint="default" w:ascii="Times New Roman" w:hAnsi="Times New Roman"/>
          <w:b/>
          <w:i w:val="false"/>
          <w:color w:val="000000"/>
          <w:sz w:val="24"/>
        </w:rPr>
        <w:t xml:space="preserve"> составных конструкций с электрически параллельными ветвями (без перемычек)</w:t>
      </w:r>
    </w:p>
    <w:bookmarkEnd w:id="5220"/>
    <w:bookmarkStart w:name="637606676" w:id="522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122</w:t>
      </w:r>
    </w:p>
    <w:bookmarkEnd w:id="5221"/>
    <w:bookmarkStart w:name="637606677" w:id="5222"/>
    <w:tbl>
      <w:tblPr>
        <w:tblW w:w="18660" w:type="auto"/>
        <w:tblCellSpacing w:w="0" w:type="auto"/>
        <w:tblBorders>
          <w:top w:val="none"/>
          <w:left w:val="none"/>
          <w:bottom w:val="none"/>
          <w:right w:val="none"/>
          <w:insideH w:val="none"/>
          <w:insideV w:val="none"/>
        </w:tblBorders>
        <w:tblLayout/>
      </w:tblPr>
      <w:tblGrid>
        <w:gridCol w:w="5404"/>
        <w:gridCol w:w="3514"/>
        <w:gridCol w:w="3541"/>
        <w:gridCol w:w="3541"/>
      </w:tblGrid>
      <w:tr>
        <w:trPr>
          <w:trHeight w:val="30" w:hRule="atLeast"/>
        </w:trPr>
        <w:tc>
          <w:tcPr>
            <w:tcW w:w="54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параллельных ветвей</w:t>
            </w:r>
          </w:p>
        </w:tc>
        <w:tc>
          <w:tcPr>
            <w:tcW w:w="35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5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5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r>
      <w:tr>
        <w:trPr>
          <w:trHeight w:val="30" w:hRule="atLeast"/>
        </w:trPr>
        <w:tc>
          <w:tcPr>
            <w:tcW w:w="540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k</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к</w:t>
            </w:r>
          </w:p>
        </w:tc>
        <w:tc>
          <w:tcPr>
            <w:tcW w:w="35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35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35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bl>
    <w:bookmarkEnd w:id="5222"/>
    <w:bookmarkStart w:name="637606678" w:id="5223"/>
    <w:p>
      <w:pPr>
        <w:spacing w:before="120" w:after="120" w:line="240"/>
        <w:ind w:left="0"/>
        <w:jc w:val="both"/>
      </w:pPr>
      <w:r>
        <w:rPr>
          <w:rFonts w:hint="default" w:ascii="Times New Roman" w:hAnsi="Times New Roman"/>
          <w:b/>
          <w:i w:val="false"/>
          <w:color w:val="000000"/>
          <w:sz w:val="24"/>
        </w:rPr>
        <w:t>Рекомендуемые области применения подвесных изоляторов различной конфигурации</w:t>
      </w:r>
    </w:p>
    <w:bookmarkEnd w:id="5223"/>
    <w:bookmarkStart w:name="637606679" w:id="522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123</w:t>
      </w:r>
    </w:p>
    <w:bookmarkEnd w:id="5224"/>
    <w:bookmarkStart w:name="637606680" w:id="5225"/>
    <w:tbl>
      <w:tblPr>
        <w:tblW w:w="18660" w:type="auto"/>
        <w:tblCellSpacing w:w="0" w:type="auto"/>
        <w:tblBorders>
          <w:top w:val="none"/>
          <w:left w:val="none"/>
          <w:bottom w:val="none"/>
          <w:right w:val="none"/>
          <w:insideH w:val="none"/>
          <w:insideV w:val="none"/>
        </w:tblBorders>
        <w:tblLayout/>
      </w:tblPr>
      <w:tblGrid>
        <w:gridCol w:w="5016"/>
        <w:gridCol w:w="10984"/>
      </w:tblGrid>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Конфигурация изолятора</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Характеристика районов загрязнения</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Тарельчатый с ребристой нижней поверхностью (L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/D</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&lt;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1-2-й СЗ при любых видах загрязнения</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Тарельчатый гладкий полусферический, тарельчатый гладкий конусный</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1-2-й СЗ при любых видах загрязнения, районы с засоленными почвами и с промышленными загрязнениями не выше 3-й СЗ</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Тарельчатый фарфоровый</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Стержневой фарфоровый нормального исполнения (L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/h</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&lt;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1-й СЗ, в том числе с труднодоступными трассами ВЛ</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Тарельчатый двукрылый</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засоленными почвами и с промышленными загрязнениями (2-4-я СЗ)</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Тарельчатый с сильно выступающим ребром на нижней поверхности (L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/D &gt; 1,4)</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Побережья морей и соленых озер (2-4-я СЗ)</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Стержневой фарфоровый специального исполнения (L</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/h &gt; 2,5)</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2-4-й СЗ при любых видах загрязнения; районы с труднодоступными трассами ВЛ (2-3-я СЗ)</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Стержневой полимерный нормального исполнения</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1-2-й СЗ при любых видах загрязнения, в том числе районы с труднодоступными трассами ВЛ</w:t>
            </w:r>
          </w:p>
        </w:tc>
      </w:tr>
      <w:tr>
        <w:trPr>
          <w:trHeight w:val="30" w:hRule="atLeast"/>
        </w:trPr>
        <w:tc>
          <w:tcPr>
            <w:tcW w:w="50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Стержневой полимерный специального исполнения</w:t>
            </w:r>
          </w:p>
        </w:tc>
        <w:tc>
          <w:tcPr>
            <w:tcW w:w="109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Районы с 2-3-й СЗ при любых видах загрязнения, в том числе районы с труднодоступными трассами ВЛ</w:t>
            </w:r>
          </w:p>
        </w:tc>
      </w:tr>
    </w:tbl>
    <w:bookmarkEnd w:id="5225"/>
    <w:bookmarkStart w:name="637606681" w:id="52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D - диаметр тарельчатого изолятора, см; h - высота</w:t>
      </w:r>
    </w:p>
    <w:bookmarkEnd w:id="5226"/>
    <w:bookmarkStart w:name="637606682" w:id="5227"/>
    <w:p>
      <w:pPr>
        <w:spacing w:before="120" w:after="120" w:line="240"/>
        <w:ind w:left="0"/>
        <w:jc w:val="both"/>
      </w:pPr>
      <w:r>
        <w:rPr>
          <w:rFonts w:hint="default" w:ascii="Times New Roman" w:hAnsi="Times New Roman"/>
          <w:b w:val="false"/>
          <w:i w:val="false"/>
          <w:color w:val="000000"/>
          <w:sz w:val="24"/>
        </w:rPr>
        <w:t>изоляционной части стержневого изолятора, см; L</w:t>
      </w:r>
      <w:r>
        <w:rPr>
          <w:rFonts w:hint="default" w:ascii="Times New Roman" w:hAnsi="Times New Roman"/>
          <w:b w:val="false"/>
          <w:i w:val="false"/>
          <w:color w:val="000000"/>
          <w:vertAlign w:val="subscript"/>
        </w:rPr>
        <w:t>и</w:t>
      </w:r>
      <w:r>
        <w:rPr>
          <w:rFonts w:hint="default" w:ascii="Times New Roman" w:hAnsi="Times New Roman"/>
          <w:b w:val="false"/>
          <w:i w:val="false"/>
          <w:color w:val="000000"/>
          <w:sz w:val="24"/>
        </w:rPr>
        <w:t xml:space="preserve"> - длина пути утечки, см.</w:t>
      </w:r>
    </w:p>
    <w:bookmarkEnd w:id="5227"/>
    <w:bookmarkStart w:name="637606683" w:id="5228"/>
    <w:p>
      <w:pPr>
        <w:spacing w:before="120" w:after="120" w:line="240"/>
        <w:ind w:left="0"/>
        <w:jc w:val="both"/>
      </w:pPr>
      <w:r>
        <w:rPr>
          <w:rFonts w:hint="default" w:ascii="Times New Roman" w:hAnsi="Times New Roman"/>
          <w:b/>
          <w:i w:val="false"/>
          <w:color w:val="000000"/>
          <w:sz w:val="24"/>
        </w:rPr>
        <w:t>Наименьшее расстояние для кабельных сооружений</w:t>
      </w:r>
    </w:p>
    <w:bookmarkEnd w:id="5228"/>
    <w:bookmarkStart w:name="637606684" w:id="522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124</w:t>
      </w:r>
    </w:p>
    <w:bookmarkEnd w:id="5229"/>
    <w:bookmarkStart w:name="637606685" w:id="5230"/>
    <w:tbl>
      <w:tblPr>
        <w:tblW w:w="18660" w:type="auto"/>
        <w:tblCellSpacing w:w="0" w:type="auto"/>
        <w:tblBorders>
          <w:top w:val="none"/>
          <w:left w:val="none"/>
          <w:bottom w:val="none"/>
          <w:right w:val="none"/>
          <w:insideH w:val="none"/>
          <w:insideV w:val="none"/>
        </w:tblBorders>
        <w:tblLayout/>
      </w:tblPr>
      <w:tblGrid>
        <w:gridCol w:w="8647"/>
        <w:gridCol w:w="3643"/>
        <w:gridCol w:w="3710"/>
      </w:tblGrid>
      <w:tr>
        <w:trPr>
          <w:trHeight w:val="30" w:hRule="atLeast"/>
        </w:trPr>
        <w:tc>
          <w:tcPr>
            <w:tcW w:w="864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Наименьшие размеры, мм, при прокладке</w:t>
            </w:r>
          </w:p>
        </w:tc>
      </w:tr>
      <w:tr>
        <w:trPr>
          <w:trHeight w:val="30" w:hRule="atLeast"/>
        </w:trPr>
        <w:tc>
          <w:tcPr>
            <w:tcW w:w="0" w:type="auto"/>
            <w:vMerge/>
            <w:tcBorders>
              <w:top w:val="nil"/>
              <w:left w:val="single" w:color="cfcfcf" w:sz="8"/>
              <w:bottom w:val="single" w:color="cfcfcf" w:sz="8"/>
              <w:right w:val="single" w:color="cfcfcf" w:sz="8"/>
            </w:tcBorders>
          </w:tcP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туннелях, галереях, кабельных этажах и на эстакадах</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кабельных каналах и двойных полах</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Высота в свету</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ограничивается, но не более 1200 мм</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горизонтали в свету между конструкциями при двустороннем их расположении (ширина проход1)</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при глубине до 0,6 м; 450 при глубине более 0,6 до 0,9 м; 600 при глубине более 0,9 м</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горизонтали в свету от конструкции до стены при одностороннем расположении (ширина проход1)</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вертикали между горизонтальными конструкциями*:</w:t>
            </w:r>
          </w:p>
        </w:tc>
        <w:tc>
          <w:tcPr>
            <w:tcW w:w="3643" w:type="dxa"/>
            <w:tcBorders>
              <w:top w:val="single" w:color="cfcfcf" w:sz="8"/>
              <w:left w:val="single" w:color="cfcfcf" w:sz="8"/>
              <w:bottom w:val="single" w:color="cfcfcf" w:sz="8"/>
              <w:right w:val="single" w:color="cfcfcf" w:sz="8"/>
            </w:tcBorders>
            <w:vAlign w:val="center"/>
          </w:tcPr>
          <w:p>
            <w:pPr>
              <w:spacing w:after="0"/>
              <w:ind w:left="0"/>
              <w:jc w:val="left"/>
            </w:pPr>
          </w:p>
        </w:tc>
        <w:tc>
          <w:tcPr>
            <w:tcW w:w="3710"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силовых кабелей напряжением:</w:t>
            </w:r>
          </w:p>
        </w:tc>
        <w:tc>
          <w:tcPr>
            <w:tcW w:w="3643" w:type="dxa"/>
            <w:tcBorders>
              <w:top w:val="single" w:color="cfcfcf" w:sz="8"/>
              <w:left w:val="single" w:color="cfcfcf" w:sz="8"/>
              <w:bottom w:val="single" w:color="cfcfcf" w:sz="8"/>
              <w:right w:val="single" w:color="cfcfcf" w:sz="8"/>
            </w:tcBorders>
            <w:vAlign w:val="center"/>
          </w:tcPr>
          <w:p>
            <w:pPr>
              <w:spacing w:after="0"/>
              <w:ind w:left="0"/>
              <w:jc w:val="left"/>
            </w:pPr>
          </w:p>
        </w:tc>
        <w:tc>
          <w:tcPr>
            <w:tcW w:w="3710"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 кВ</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20–35 кВ</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 кВ и выше</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контрольных кабелей и кабелей связи, а также силовых сечением до 3х25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напряжением до 1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опорными конструкциями (консолями) по длине сооружения)</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800–1000</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вертикали и горизонтали в свету между одиночными силовыми кабелями напряжением до 35 кВ ***</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диаметра кабеля</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горизонтали между контрольными кабелями связи ***</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r>
      <w:tr>
        <w:trPr>
          <w:trHeight w:val="30" w:hRule="atLeast"/>
        </w:trPr>
        <w:tc>
          <w:tcPr>
            <w:tcW w:w="86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 горизонтали в свету между кабелями напряжением 110 кВ и выше</w:t>
            </w:r>
          </w:p>
        </w:tc>
        <w:tc>
          <w:tcPr>
            <w:tcW w:w="36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3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менее диаметра кабеля</w:t>
            </w:r>
          </w:p>
        </w:tc>
      </w:tr>
    </w:tbl>
    <w:bookmarkEnd w:id="5230"/>
    <w:bookmarkStart w:name="637606686" w:id="5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Полезная длина консоли должна быть не более 500 мм на прямых участках трассы.</w:t>
      </w:r>
    </w:p>
    <w:bookmarkEnd w:id="5231"/>
    <w:bookmarkStart w:name="637606687" w:id="5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При расположении кабелей треугольником 250 мм.</w:t>
      </w:r>
    </w:p>
    <w:bookmarkEnd w:id="5232"/>
    <w:bookmarkStart w:name="637606688" w:id="5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том числе для кабелей, прокладываемых в кабельных шахтах.</w:t>
      </w:r>
    </w:p>
    <w:bookmarkEnd w:id="5233"/>
    <w:bookmarkStart w:name="637606689" w:id="5234"/>
    <w:p>
      <w:pPr>
        <w:spacing w:before="120" w:after="120" w:line="240"/>
        <w:ind w:left="0"/>
        <w:jc w:val="both"/>
      </w:pPr>
      <w:r>
        <w:rPr>
          <w:rFonts w:hint="default" w:ascii="Times New Roman" w:hAnsi="Times New Roman"/>
          <w:b/>
          <w:i w:val="false"/>
          <w:color w:val="000000"/>
          <w:sz w:val="24"/>
        </w:rPr>
        <w:t>Наименьшие расстояния от кабельных эстакад и галерей до зданий и сооружений</w:t>
      </w:r>
    </w:p>
    <w:bookmarkEnd w:id="5234"/>
    <w:bookmarkStart w:name="637606690" w:id="523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125</w:t>
      </w:r>
    </w:p>
    <w:bookmarkEnd w:id="5235"/>
    <w:bookmarkStart w:name="637606691" w:id="5236"/>
    <w:tbl>
      <w:tblPr>
        <w:tblW w:w="18660" w:type="auto"/>
        <w:tblCellSpacing w:w="0" w:type="auto"/>
        <w:tblBorders>
          <w:top w:val="none"/>
          <w:left w:val="none"/>
          <w:bottom w:val="none"/>
          <w:right w:val="none"/>
          <w:insideH w:val="none"/>
          <w:insideV w:val="none"/>
        </w:tblBorders>
        <w:tblLayout/>
      </w:tblPr>
      <w:tblGrid>
        <w:gridCol w:w="5260"/>
        <w:gridCol w:w="5303"/>
        <w:gridCol w:w="5437"/>
      </w:tblGrid>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Сооружение</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Нормируемое расстояние</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Наименьшие размеры, м</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параллельном следовании, по горизонтали</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Здания и сооружения с глухими стенами</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стены здания и сооружения</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Здания и сооружения, имеющие стены с проемами</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Внутризаводская неэлектрифицированная железная дорога</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габарита приближения строений</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м для галерей и проходных эстакад; 3 м для непроходных эстакад</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Внутризаводская автомобильная дорога и пожарные проезды</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бордюрного камня, внешней бровки или подошвы кювета дороги</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Канатная дорога</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габарита подвижного состава</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Надземный трубопровод</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ближайших частей трубопровода</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Воздушная линия электропередачи</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проводов</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см.гл.11</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пересечении, по вертикали</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Внутризаводская неэлектрифицированная железная дорога</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нижней отметки эстакады и галереи до головки рельса</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Внутризаводская электрифицированная железная дорога</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нижней отметки эстакады и галереи: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головки рельса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до наивысшего провода или несущего троса контактной сети</w:t>
            </w:r>
          </w:p>
        </w:tc>
        <w:tc>
          <w:tcPr>
            <w:tcW w:w="5437"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7,1</w:t>
            </w:r>
          </w:p>
          <w:p>
            <w:pPr>
              <w:spacing w:after="0"/>
              <w:ind w:left="14"/>
              <w:jc w:val="left"/>
            </w:pPr>
            <w:r>
              <w:rPr>
                <w:rFonts w:hint="default" w:ascii="Times New Roman" w:hAnsi="Times New Roman"/>
                <w:b w:val="false"/>
                <w:i w:val="false"/>
                <w:color w:val="000000"/>
                <w:sz w:val="24"/>
              </w:rPr>
              <w:t>3</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Внутризаводская автомобильная дорога (пожарный проезд)</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нижней отметки эстакады и галереи до полотна автомобильной дороги (пожарного проезд1)</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Надземный трубопровод</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ближайших частей трубопровода</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Воздушная линия электропередачи</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конструкции эстакады и галереи до проводов</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см.гл.11</w:t>
            </w:r>
          </w:p>
        </w:tc>
      </w:tr>
      <w:tr>
        <w:trPr>
          <w:trHeight w:val="30" w:hRule="atLeast"/>
        </w:trPr>
        <w:tc>
          <w:tcPr>
            <w:tcW w:w="52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Воздушная линия связи и радиофикации</w:t>
            </w:r>
          </w:p>
        </w:tc>
        <w:tc>
          <w:tcPr>
            <w:tcW w:w="53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54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bl>
    <w:bookmarkEnd w:id="5236"/>
    <w:bookmarkStart w:name="637606692" w:id="5237"/>
    <w:p>
      <w:pPr>
        <w:spacing w:before="120" w:after="120" w:line="240"/>
        <w:ind w:left="0"/>
        <w:jc w:val="both"/>
      </w:pPr>
      <w:r>
        <w:rPr>
          <w:rFonts w:hint="default" w:ascii="Times New Roman" w:hAnsi="Times New Roman"/>
          <w:b/>
          <w:i w:val="false"/>
          <w:color w:val="000000"/>
          <w:sz w:val="24"/>
        </w:rPr>
        <w:t>Допустимое механическое напряжение в проводах ВЛ до 1 кВ (в % от предела прочности при растяжении)</w:t>
      </w:r>
    </w:p>
    <w:bookmarkEnd w:id="5237"/>
    <w:bookmarkStart w:name="637606693" w:id="523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126</w:t>
      </w:r>
    </w:p>
    <w:bookmarkEnd w:id="5238"/>
    <w:bookmarkStart w:name="637606694" w:id="5239"/>
    <w:tbl>
      <w:tblPr>
        <w:tblW w:w="18660" w:type="auto"/>
        <w:tblCellSpacing w:w="0" w:type="auto"/>
        <w:tblBorders>
          <w:top w:val="none"/>
          <w:left w:val="none"/>
          <w:bottom w:val="none"/>
          <w:right w:val="none"/>
          <w:insideH w:val="none"/>
          <w:insideV w:val="none"/>
        </w:tblBorders>
        <w:tblLayout/>
      </w:tblPr>
      <w:tblGrid>
        <w:gridCol w:w="8710"/>
        <w:gridCol w:w="3482"/>
        <w:gridCol w:w="3808"/>
      </w:tblGrid>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Материал и номинальное сечение провода</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гололедно-ветровых нагрузках и низшей температуре, R</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r</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=R</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При среднегодовой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температуре, R</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Алюминиевые сечением,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 – 95</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 термообработанного и нетермообработанного алюминиевого сплава сечением,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 – 95</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Сталеалюминиевые сечением,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8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 – 95</w:t>
            </w:r>
          </w:p>
        </w:tc>
        <w:tc>
          <w:tcPr>
            <w:tcW w:w="34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3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bl>
    <w:bookmarkEnd w:id="5239"/>
    <w:bookmarkStart w:name="637606695" w:id="5240"/>
    <w:p>
      <w:pPr>
        <w:spacing w:before="120" w:after="120" w:line="240"/>
        <w:ind w:left="0"/>
        <w:jc w:val="both"/>
      </w:pPr>
      <w:r>
        <w:rPr>
          <w:rFonts w:hint="default" w:ascii="Times New Roman" w:hAnsi="Times New Roman"/>
          <w:b/>
          <w:i w:val="false"/>
          <w:color w:val="000000"/>
          <w:sz w:val="24"/>
        </w:rPr>
        <w:t>Наименьшие допустимые расстояния по горизонтали от подземных частей опор или заземляющих устройств ВЛ до подземных кабелей, трубопроводов и наземных колонок</w:t>
      </w:r>
    </w:p>
    <w:bookmarkEnd w:id="5240"/>
    <w:bookmarkStart w:name="637606696" w:id="524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127</w:t>
      </w:r>
    </w:p>
    <w:bookmarkEnd w:id="5241"/>
    <w:bookmarkStart w:name="637606697" w:id="5242"/>
    <w:tbl>
      <w:tblPr>
        <w:tblW w:w="18660" w:type="auto"/>
        <w:tblCellSpacing w:w="0" w:type="auto"/>
        <w:tblBorders>
          <w:top w:val="none"/>
          <w:left w:val="none"/>
          <w:bottom w:val="none"/>
          <w:right w:val="none"/>
          <w:insideH w:val="none"/>
          <w:insideV w:val="none"/>
        </w:tblBorders>
        <w:tblLayout/>
      </w:tblPr>
      <w:tblGrid>
        <w:gridCol w:w="9653"/>
        <w:gridCol w:w="6347"/>
      </w:tblGrid>
      <w:tr>
        <w:trPr>
          <w:trHeight w:val="30" w:hRule="atLeast"/>
        </w:trPr>
        <w:tc>
          <w:tcPr>
            <w:tcW w:w="9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Объект сближения</w:t>
            </w:r>
          </w:p>
        </w:tc>
        <w:tc>
          <w:tcPr>
            <w:tcW w:w="63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9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Водо-, газо-, паро- и теплопроводы, а также канализационные трубы</w:t>
            </w:r>
          </w:p>
        </w:tc>
        <w:tc>
          <w:tcPr>
            <w:tcW w:w="63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9653"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Пожарные гидранты, колодцы (люки) подземной канализации, водоразборные</w:t>
            </w:r>
          </w:p>
          <w:p>
            <w:pPr>
              <w:spacing w:after="0"/>
              <w:ind w:left="14"/>
              <w:jc w:val="left"/>
            </w:pPr>
            <w:r>
              <w:rPr>
                <w:rFonts w:hint="default" w:ascii="Times New Roman" w:hAnsi="Times New Roman"/>
                <w:b w:val="false"/>
                <w:i w:val="false"/>
                <w:color w:val="000000"/>
                <w:sz w:val="24"/>
              </w:rPr>
              <w:t>колонки</w:t>
            </w:r>
          </w:p>
        </w:tc>
        <w:tc>
          <w:tcPr>
            <w:tcW w:w="63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9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Кабели (кроме кабелей связи, сигнализации и радиотрансляции)</w:t>
            </w:r>
          </w:p>
        </w:tc>
        <w:tc>
          <w:tcPr>
            <w:tcW w:w="63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r>
      <w:tr>
        <w:trPr>
          <w:trHeight w:val="30" w:hRule="atLeast"/>
        </w:trPr>
        <w:tc>
          <w:tcPr>
            <w:tcW w:w="96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 но при прокладке их в изолирующей трубе</w:t>
            </w:r>
          </w:p>
        </w:tc>
        <w:tc>
          <w:tcPr>
            <w:tcW w:w="63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r>
    </w:tbl>
    <w:bookmarkEnd w:id="5242"/>
    <w:bookmarkStart w:name="637606698" w:id="5243"/>
    <w:p>
      <w:pPr>
        <w:spacing w:before="120" w:after="120" w:line="240"/>
        <w:ind w:left="0"/>
        <w:jc w:val="both"/>
      </w:pPr>
      <w:r>
        <w:rPr>
          <w:rFonts w:hint="default" w:ascii="Times New Roman" w:hAnsi="Times New Roman"/>
          <w:b/>
          <w:i w:val="false"/>
          <w:color w:val="000000"/>
          <w:sz w:val="24"/>
        </w:rPr>
        <w:t>Наименьшие расстояния от подземного кабеля ЛС (П3) до подземной части или заземлителя опоры ВЛ в ненаселенной местности</w:t>
      </w:r>
    </w:p>
    <w:bookmarkEnd w:id="5243"/>
    <w:bookmarkStart w:name="637606699" w:id="524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128</w:t>
      </w:r>
    </w:p>
    <w:bookmarkEnd w:id="5244"/>
    <w:bookmarkStart w:name="637606700" w:id="5245"/>
    <w:tbl>
      <w:tblPr>
        <w:tblW w:w="18660" w:type="auto"/>
        <w:tblCellSpacing w:w="0" w:type="auto"/>
        <w:tblBorders>
          <w:top w:val="none"/>
          <w:left w:val="none"/>
          <w:bottom w:val="none"/>
          <w:right w:val="none"/>
          <w:insideH w:val="none"/>
          <w:insideV w:val="none"/>
        </w:tblBorders>
        <w:tblLayout/>
      </w:tblPr>
      <w:tblGrid>
        <w:gridCol w:w="5698"/>
        <w:gridCol w:w="5413"/>
        <w:gridCol w:w="4889"/>
      </w:tblGrid>
      <w:tr>
        <w:trPr>
          <w:trHeight w:val="30" w:hRule="atLeast"/>
        </w:trPr>
        <w:tc>
          <w:tcPr>
            <w:tcW w:w="569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Эквивалентное удельное сопротивление земли, 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Наименьшее расстояние от подземного кабеля ЛС (П3), м</w:t>
            </w:r>
          </w:p>
        </w:tc>
      </w:tr>
      <w:tr>
        <w:trPr>
          <w:trHeight w:val="30" w:hRule="atLeast"/>
        </w:trPr>
        <w:tc>
          <w:tcPr>
            <w:tcW w:w="0" w:type="auto"/>
            <w:vMerge/>
            <w:tcBorders>
              <w:top w:val="nil"/>
              <w:left w:val="single" w:color="cfcfcf" w:sz="8"/>
              <w:bottom w:val="single" w:color="cfcfcf" w:sz="8"/>
              <w:right w:val="single" w:color="cfcfcf" w:sz="8"/>
            </w:tcBorders>
          </w:tcPr>
          <w:p/>
        </w:tc>
        <w:tc>
          <w:tcPr>
            <w:tcW w:w="5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заземлителя или подземной части железобетонной и металлической опоры</w:t>
            </w:r>
          </w:p>
        </w:tc>
        <w:tc>
          <w:tcPr>
            <w:tcW w:w="48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подземной части деревянной опоры, не имеющей заземляющего устройства</w:t>
            </w:r>
          </w:p>
        </w:tc>
      </w:tr>
      <w:tr>
        <w:trPr>
          <w:trHeight w:val="30" w:hRule="atLeast"/>
        </w:trPr>
        <w:tc>
          <w:tcPr>
            <w:tcW w:w="5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p>
        </w:tc>
        <w:tc>
          <w:tcPr>
            <w:tcW w:w="5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48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5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100 до 500</w:t>
            </w:r>
          </w:p>
        </w:tc>
        <w:tc>
          <w:tcPr>
            <w:tcW w:w="5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48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5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500 до 1000</w:t>
            </w:r>
          </w:p>
        </w:tc>
        <w:tc>
          <w:tcPr>
            <w:tcW w:w="5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48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bl>
    <w:bookmarkEnd w:id="5245"/>
    <w:bookmarkStart w:name="637606701" w:id="5246"/>
    <w:p>
      <w:pPr>
        <w:spacing w:before="120" w:after="120" w:line="240"/>
        <w:ind w:left="0"/>
        <w:jc w:val="both"/>
      </w:pPr>
      <w:r>
        <w:drawing>
          <wp:inline distT="0" distB="0" distL="0" distR="0">
            <wp:extent cx="5715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715000" cy="3708400"/>
                    </a:xfrm>
                    <a:prstGeom prst="rect">
                      <a:avLst/>
                    </a:prstGeom>
                  </pic:spPr>
                </pic:pic>
              </a:graphicData>
            </a:graphic>
          </wp:inline>
        </w:drawing>
      </w:r>
    </w:p>
    <w:bookmarkEnd w:id="5246"/>
    <w:bookmarkStart w:name="637606702" w:id="5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 Наименьшие расстояния в свету при жестких шинах между</w:t>
      </w:r>
    </w:p>
    <w:bookmarkEnd w:id="5247"/>
    <w:bookmarkStart w:name="637606703" w:id="5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и заземленными частями (Аф-з) и между</w:t>
      </w:r>
    </w:p>
    <w:bookmarkEnd w:id="5248"/>
    <w:bookmarkStart w:name="637606704" w:id="52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частями разных фаз (Аф-ф)</w:t>
      </w:r>
    </w:p>
    <w:bookmarkEnd w:id="5249"/>
    <w:bookmarkStart w:name="637606705" w:id="5250"/>
    <w:p>
      <w:pPr>
        <w:spacing w:before="120" w:after="120" w:line="240"/>
        <w:ind w:left="0"/>
        <w:jc w:val="both"/>
      </w:pPr>
      <w:r>
        <w:rPr>
          <w:rFonts w:hint="default" w:ascii="Times New Roman" w:hAnsi="Times New Roman"/>
          <w:b/>
          <w:i w:val="false"/>
          <w:color w:val="000000"/>
          <w:sz w:val="24"/>
        </w:rPr>
        <w:t>Наименьшие расстояния в свету от токоведущих частей до различных элементов ОРУ (ПС) 110–500 кВ, защищенных ограничителями перенапряжений с защитным уровнем фаза-земля 1,8</w:t>
      </w:r>
    </w:p>
    <w:bookmarkEnd w:id="5250"/>
    <w:bookmarkStart w:name="637606706" w:id="525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129</w:t>
      </w:r>
    </w:p>
    <w:bookmarkEnd w:id="5251"/>
    <w:bookmarkStart w:name="637606707" w:id="5252"/>
    <w:tbl>
      <w:tblPr>
        <w:tblW w:w="18660" w:type="auto"/>
        <w:tblCellSpacing w:w="0" w:type="auto"/>
        <w:tblBorders>
          <w:top w:val="none"/>
          <w:left w:val="none"/>
          <w:bottom w:val="none"/>
          <w:right w:val="none"/>
          <w:insideH w:val="none"/>
          <w:insideV w:val="none"/>
        </w:tblBorders>
        <w:tblLayout/>
      </w:tblPr>
      <w:tblGrid>
        <w:gridCol w:w="5873"/>
        <w:gridCol w:w="2054"/>
        <w:gridCol w:w="1571"/>
        <w:gridCol w:w="1965"/>
        <w:gridCol w:w="2375"/>
        <w:gridCol w:w="2162"/>
      </w:tblGrid>
      <w:tr>
        <w:trPr>
          <w:trHeight w:val="30" w:hRule="atLeast"/>
        </w:trPr>
        <w:tc>
          <w:tcPr>
            <w:tcW w:w="587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расстояния</w:t>
            </w:r>
          </w:p>
        </w:tc>
        <w:tc>
          <w:tcPr>
            <w:tcW w:w="205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Обозначение</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Изоляционное расстояние, мм, для номинального напряжения,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элементов оборудования и изоляции, находящихся под напряжением, до земли и постоянных внутренних ограждений выстой не менее 2 м, а также стационарных межъячейковых экранов и противопожарных перегородок</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ф-з</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ф-з</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токопроводящими частями разных фаз</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ф-ф</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элементов оборудования и изоляции, находящихся под напряжением, до постоянных внутренних ограждений высотой до 1,6 м, до транспортного оборудования</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3450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токопроводящими частями разных цепей в разных плоскостях при обслуживании нижней цепи и не отключенной верхней</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неогражденных токопроводящих частей до земли или до кровли зданий при наибольшем провисании провода</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5700</w:t>
            </w:r>
          </w:p>
        </w:tc>
      </w:tr>
      <w:tr>
        <w:trPr>
          <w:trHeight w:val="30" w:hRule="atLeast"/>
        </w:trPr>
        <w:tc>
          <w:tcPr>
            <w:tcW w:w="587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токопроводящими частями разных цепей в разных плоскостях, а также между токопроводящими частями разных цепей по горизонтали при обслуживании одной цепи и не отключенной другой</w:t>
            </w:r>
          </w:p>
        </w:tc>
        <w:tc>
          <w:tcPr>
            <w:tcW w:w="20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w:t>
            </w:r>
          </w:p>
        </w:tc>
        <w:tc>
          <w:tcPr>
            <w:tcW w:w="15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2600</w:t>
            </w:r>
          </w:p>
        </w:tc>
        <w:tc>
          <w:tcPr>
            <w:tcW w:w="196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3200</w:t>
            </w:r>
          </w:p>
        </w:tc>
        <w:tc>
          <w:tcPr>
            <w:tcW w:w="23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3600</w:t>
            </w:r>
          </w:p>
        </w:tc>
        <w:tc>
          <w:tcPr>
            <w:tcW w:w="21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4700</w:t>
            </w:r>
          </w:p>
        </w:tc>
      </w:tr>
    </w:tbl>
    <w:bookmarkEnd w:id="5252"/>
    <w:bookmarkStart w:name="637606708" w:id="5253"/>
    <w:p>
      <w:pPr>
        <w:spacing w:before="120" w:after="120" w:line="240"/>
        <w:ind w:left="0"/>
        <w:jc w:val="both"/>
      </w:pPr>
      <w:r>
        <w:rPr>
          <w:rFonts w:hint="default" w:ascii="Times New Roman" w:hAnsi="Times New Roman"/>
          <w:b/>
          <w:i w:val="false"/>
          <w:color w:val="000000"/>
          <w:sz w:val="24"/>
        </w:rPr>
        <w:t>Наименьшее расстояние от токоведущих частей до различных элементов ОРУ (подстанций) в свету по Рис. 1–10</w:t>
      </w:r>
    </w:p>
    <w:bookmarkEnd w:id="5253"/>
    <w:bookmarkStart w:name="637606709" w:id="525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130</w:t>
      </w:r>
    </w:p>
    <w:bookmarkEnd w:id="5254"/>
    <w:bookmarkStart w:name="637606710" w:id="5255"/>
    <w:tbl>
      <w:tblPr>
        <w:tblW w:w="18660" w:type="auto"/>
        <w:tblCellSpacing w:w="0" w:type="auto"/>
        <w:tblBorders>
          <w:top w:val="none"/>
          <w:left w:val="none"/>
          <w:bottom w:val="none"/>
          <w:right w:val="none"/>
          <w:insideH w:val="none"/>
          <w:insideV w:val="none"/>
        </w:tblBorders>
        <w:tblLayout/>
      </w:tblPr>
      <w:tblGrid>
        <w:gridCol w:w="1659"/>
        <w:gridCol w:w="4184"/>
        <w:gridCol w:w="2060"/>
        <w:gridCol w:w="1232"/>
        <w:gridCol w:w="1170"/>
        <w:gridCol w:w="1061"/>
        <w:gridCol w:w="1092"/>
        <w:gridCol w:w="1264"/>
        <w:gridCol w:w="1092"/>
        <w:gridCol w:w="1186"/>
      </w:tblGrid>
      <w:tr>
        <w:trPr>
          <w:trHeight w:val="30" w:hRule="atLeast"/>
        </w:trPr>
        <w:tc>
          <w:tcPr>
            <w:tcW w:w="165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Номер рисунка</w:t>
            </w:r>
          </w:p>
        </w:tc>
        <w:tc>
          <w:tcPr>
            <w:tcW w:w="418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расстояния</w:t>
            </w:r>
          </w:p>
        </w:tc>
        <w:tc>
          <w:tcPr>
            <w:tcW w:w="206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Обозначение</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Изоляционное расстояние, мм, для номинального напряжения,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w:t>
            </w:r>
          </w:p>
          <w:p>
            <w:pPr>
              <w:spacing w:after="14"/>
              <w:ind w:left="14"/>
              <w:jc w:val="left"/>
            </w:pPr>
            <w:r>
              <w:rPr>
                <w:rFonts w:hint="default" w:ascii="Times New Roman" w:hAnsi="Times New Roman"/>
                <w:b w:val="false"/>
                <w:i w:val="false"/>
                <w:color w:val="000000"/>
                <w:sz w:val="24"/>
              </w:rPr>
              <w:t>2</w:t>
            </w:r>
          </w:p>
          <w:p>
            <w:pPr>
              <w:spacing w:after="0"/>
              <w:ind w:left="14"/>
              <w:jc w:val="left"/>
            </w:pPr>
            <w:r>
              <w:rPr>
                <w:rFonts w:hint="default" w:ascii="Times New Roman" w:hAnsi="Times New Roman"/>
                <w:b w:val="false"/>
                <w:i w:val="false"/>
                <w:color w:val="000000"/>
                <w:sz w:val="24"/>
              </w:rPr>
              <w:t>3</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ф-з</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3750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w:t>
            </w:r>
          </w:p>
          <w:p>
            <w:pPr>
              <w:spacing w:after="0"/>
              <w:ind w:left="14"/>
              <w:jc w:val="left"/>
            </w:pPr>
            <w:r>
              <w:rPr>
                <w:rFonts w:hint="default" w:ascii="Times New Roman" w:hAnsi="Times New Roman"/>
                <w:b w:val="false"/>
                <w:i w:val="false"/>
                <w:color w:val="000000"/>
                <w:sz w:val="24"/>
              </w:rPr>
              <w:t>2</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проводами разных фаз</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ф-ф</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440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w:t>
            </w:r>
          </w:p>
          <w:p>
            <w:pPr>
              <w:spacing w:after="14"/>
              <w:ind w:left="14"/>
              <w:jc w:val="left"/>
            </w:pPr>
            <w:r>
              <w:rPr>
                <w:rFonts w:hint="default" w:ascii="Times New Roman" w:hAnsi="Times New Roman"/>
                <w:b w:val="false"/>
                <w:i w:val="false"/>
                <w:color w:val="000000"/>
                <w:sz w:val="24"/>
              </w:rPr>
              <w:t>5</w:t>
            </w:r>
          </w:p>
          <w:p>
            <w:pPr>
              <w:spacing w:after="0"/>
              <w:ind w:left="14"/>
              <w:jc w:val="left"/>
            </w:pPr>
            <w:r>
              <w:rPr>
                <w:rFonts w:hint="default" w:ascii="Times New Roman" w:hAnsi="Times New Roman"/>
                <w:b w:val="false"/>
                <w:i w:val="false"/>
                <w:color w:val="000000"/>
                <w:sz w:val="24"/>
              </w:rPr>
              <w:t>9</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токоведущими частями разных цепей в разных плоскостях при обслуживаемой нижней цепи и неотключенной верхней</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5000</w:t>
            </w:r>
          </w:p>
        </w:tc>
      </w:tr>
      <w:tr>
        <w:trPr>
          <w:trHeight w:val="30" w:hRule="atLeast"/>
        </w:trPr>
        <w:tc>
          <w:tcPr>
            <w:tcW w:w="1659" w:type="dxa"/>
            <w:vMerge w:val="restart"/>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4</w:t>
            </w:r>
          </w:p>
          <w:p>
            <w:pPr>
              <w:spacing w:after="0"/>
              <w:ind w:left="14"/>
              <w:jc w:val="left"/>
            </w:pPr>
            <w:r>
              <w:rPr>
                <w:rFonts w:hint="default" w:ascii="Times New Roman" w:hAnsi="Times New Roman"/>
                <w:b w:val="false"/>
                <w:i w:val="false"/>
                <w:color w:val="000000"/>
                <w:sz w:val="24"/>
              </w:rPr>
              <w:t>10</w:t>
            </w:r>
          </w:p>
        </w:tc>
        <w:tc>
          <w:tcPr>
            <w:tcW w:w="418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неогражденных токоведущих частей до земли или до кровли зданий при наибольшем провисании проводов</w:t>
            </w:r>
          </w:p>
        </w:tc>
        <w:tc>
          <w:tcPr>
            <w:tcW w:w="206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3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7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61"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9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264" w:type="dxa"/>
            <w:tcBorders>
              <w:top w:val="single" w:color="cfcfcf" w:sz="8"/>
              <w:left w:val="single" w:color="cfcfcf" w:sz="8"/>
              <w:bottom w:val="single" w:color="cfcfcf" w:sz="8"/>
              <w:right w:val="single" w:color="cfcfcf" w:sz="8"/>
            </w:tcBorders>
            <w:vAlign w:val="center"/>
          </w:tcPr>
          <w:p>
            <w:pPr>
              <w:spacing w:after="0"/>
              <w:ind w:left="0"/>
              <w:jc w:val="left"/>
            </w:pPr>
          </w:p>
        </w:tc>
        <w:tc>
          <w:tcPr>
            <w:tcW w:w="1092" w:type="dxa"/>
            <w:tcBorders>
              <w:top w:val="single" w:color="cfcfcf" w:sz="8"/>
              <w:left w:val="single" w:color="cfcfcf" w:sz="8"/>
              <w:bottom w:val="single" w:color="cfcfcf" w:sz="8"/>
              <w:right w:val="single" w:color="cfcfcf" w:sz="8"/>
            </w:tcBorders>
            <w:vAlign w:val="center"/>
          </w:tcPr>
          <w:p>
            <w:pPr>
              <w:spacing w:after="0"/>
              <w:ind w:left="0"/>
              <w:jc w:val="left"/>
            </w:pPr>
          </w:p>
        </w:tc>
        <w:tc>
          <w:tcPr>
            <w:tcW w:w="1186"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2900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3600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6450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6</w:t>
            </w:r>
          </w:p>
          <w:p>
            <w:pPr>
              <w:spacing w:after="14"/>
              <w:ind w:left="14"/>
              <w:jc w:val="left"/>
            </w:pPr>
            <w:r>
              <w:rPr>
                <w:rFonts w:hint="default" w:ascii="Times New Roman" w:hAnsi="Times New Roman"/>
                <w:b w:val="false"/>
                <w:i w:val="false"/>
                <w:color w:val="000000"/>
                <w:sz w:val="24"/>
              </w:rPr>
              <w:t>7</w:t>
            </w:r>
          </w:p>
          <w:p>
            <w:pPr>
              <w:spacing w:after="14"/>
              <w:ind w:left="14"/>
              <w:jc w:val="left"/>
            </w:pPr>
            <w:r>
              <w:rPr>
                <w:rFonts w:hint="default" w:ascii="Times New Roman" w:hAnsi="Times New Roman"/>
                <w:b w:val="false"/>
                <w:i w:val="false"/>
                <w:color w:val="000000"/>
                <w:sz w:val="24"/>
              </w:rPr>
              <w:t>8</w:t>
            </w:r>
          </w:p>
          <w:p>
            <w:pPr>
              <w:spacing w:after="0"/>
              <w:ind w:left="14"/>
              <w:jc w:val="left"/>
            </w:pPr>
            <w:r>
              <w:rPr>
                <w:rFonts w:hint="default" w:ascii="Times New Roman" w:hAnsi="Times New Roman"/>
                <w:b w:val="false"/>
                <w:i w:val="false"/>
                <w:color w:val="000000"/>
                <w:sz w:val="24"/>
              </w:rPr>
              <w:t>10</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2300</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2900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5750</w:t>
            </w:r>
          </w:p>
        </w:tc>
      </w:tr>
      <w:tr>
        <w:trPr>
          <w:trHeight w:val="30" w:hRule="atLeast"/>
        </w:trPr>
        <w:tc>
          <w:tcPr>
            <w:tcW w:w="16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418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контакта и ножа разъединителя в отключенном положении до ошиновки, присоединенной ко второму контакту</w:t>
            </w:r>
          </w:p>
        </w:tc>
        <w:tc>
          <w:tcPr>
            <w:tcW w:w="20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w:t>
            </w:r>
          </w:p>
        </w:tc>
        <w:tc>
          <w:tcPr>
            <w:tcW w:w="12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11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365</w:t>
            </w:r>
          </w:p>
        </w:tc>
        <w:tc>
          <w:tcPr>
            <w:tcW w:w="106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485</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1100</w:t>
            </w:r>
          </w:p>
        </w:tc>
        <w:tc>
          <w:tcPr>
            <w:tcW w:w="12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10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3100</w:t>
            </w:r>
          </w:p>
        </w:tc>
        <w:tc>
          <w:tcPr>
            <w:tcW w:w="118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4600</w:t>
            </w:r>
          </w:p>
        </w:tc>
      </w:tr>
    </w:tbl>
    <w:bookmarkEnd w:id="5255"/>
    <w:bookmarkStart w:name="637606711" w:id="5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256"/>
    <w:bookmarkStart w:name="637606712" w:id="5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bookmarkEnd w:id="5257"/>
    <w:bookmarkStart w:name="637606713" w:id="5258"/>
    <w:p>
      <w:pPr>
        <w:spacing w:before="120" w:after="120" w:line="240"/>
        <w:ind w:left="0"/>
        <w:jc w:val="both"/>
      </w:pPr>
      <w:r>
        <w:rPr>
          <w:rFonts w:hint="default" w:ascii="Times New Roman" w:hAnsi="Times New Roman"/>
          <w:b w:val="false"/>
          <w:i w:val="false"/>
          <w:color w:val="000000"/>
          <w:sz w:val="24"/>
        </w:rPr>
        <w:t>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w:t>
      </w:r>
    </w:p>
    <w:bookmarkEnd w:id="5258"/>
    <w:bookmarkStart w:name="637606714" w:id="5259"/>
    <w:p>
      <w:pPr>
        <w:spacing w:before="120" w:after="120" w:line="240"/>
        <w:ind w:left="0"/>
        <w:jc w:val="both"/>
      </w:pPr>
      <w:r>
        <w:rPr>
          <w:rFonts w:hint="default" w:ascii="Times New Roman" w:hAnsi="Times New Roman"/>
          <w:b w:val="false"/>
          <w:i w:val="false"/>
          <w:color w:val="000000"/>
          <w:sz w:val="24"/>
        </w:rPr>
        <w:t>3) Расстояния А</w:t>
      </w:r>
      <w:r>
        <w:rPr>
          <w:rFonts w:hint="default" w:ascii="Times New Roman" w:hAnsi="Times New Roman"/>
          <w:b w:val="false"/>
          <w:i w:val="false"/>
          <w:color w:val="000000"/>
          <w:vertAlign w:val="subscript"/>
        </w:rPr>
        <w:t>ф-з</w:t>
      </w:r>
      <w:r>
        <w:rPr>
          <w:rFonts w:hint="default" w:ascii="Times New Roman" w:hAnsi="Times New Roman"/>
          <w:b w:val="false"/>
          <w:i w:val="false"/>
          <w:color w:val="000000"/>
          <w:sz w:val="24"/>
        </w:rPr>
        <w:t xml:space="preserve"> и А</w:t>
      </w:r>
      <w:r>
        <w:rPr>
          <w:rFonts w:hint="default" w:ascii="Times New Roman" w:hAnsi="Times New Roman"/>
          <w:b w:val="false"/>
          <w:i w:val="false"/>
          <w:color w:val="000000"/>
          <w:vertAlign w:val="subscript"/>
        </w:rPr>
        <w:t>ф-ф</w:t>
      </w:r>
      <w:r>
        <w:rPr>
          <w:rFonts w:hint="default" w:ascii="Times New Roman" w:hAnsi="Times New Roman"/>
          <w:b w:val="false"/>
          <w:i w:val="false"/>
          <w:color w:val="000000"/>
          <w:sz w:val="24"/>
        </w:rPr>
        <w:t xml:space="preserve"> в электроустановках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1516.1–76 *.</w:t>
      </w:r>
    </w:p>
    <w:bookmarkEnd w:id="5259"/>
    <w:bookmarkStart w:name="637606715" w:id="5260"/>
    <w:p>
      <w:pPr>
        <w:spacing w:before="120" w:after="120" w:line="240"/>
        <w:ind w:left="0"/>
        <w:jc w:val="both"/>
      </w:pPr>
      <w:r>
        <w:drawing>
          <wp:inline distT="0" distB="0" distL="0" distR="0">
            <wp:extent cx="57150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715000" cy="1270000"/>
                    </a:xfrm>
                    <a:prstGeom prst="rect">
                      <a:avLst/>
                    </a:prstGeom>
                  </pic:spPr>
                </pic:pic>
              </a:graphicData>
            </a:graphic>
          </wp:inline>
        </w:drawing>
      </w:r>
    </w:p>
    <w:bookmarkEnd w:id="5260"/>
    <w:bookmarkStart w:name="637606716" w:id="5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2. Наименьшие расстояния в свету при гибких шинах между</w:t>
      </w:r>
    </w:p>
    <w:bookmarkEnd w:id="5261"/>
    <w:bookmarkStart w:name="637606717" w:id="5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и заземленными частями и между</w:t>
      </w:r>
    </w:p>
    <w:bookmarkEnd w:id="5262"/>
    <w:bookmarkStart w:name="637606718" w:id="5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частями разных фаз, расположенными в</w:t>
      </w:r>
    </w:p>
    <w:bookmarkEnd w:id="5263"/>
    <w:bookmarkStart w:name="637606719" w:id="5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одной горизонтальной плоскости.</w:t>
      </w:r>
    </w:p>
    <w:bookmarkEnd w:id="5264"/>
    <w:bookmarkStart w:name="637606720" w:id="5265"/>
    <w:p>
      <w:pPr>
        <w:spacing w:before="120" w:after="120" w:line="240"/>
        <w:ind w:left="0"/>
        <w:jc w:val="both"/>
      </w:pPr>
      <w:r>
        <w:drawing>
          <wp:inline distT="0" distB="0" distL="0" distR="0">
            <wp:extent cx="57150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715000" cy="4064000"/>
                    </a:xfrm>
                    <a:prstGeom prst="rect">
                      <a:avLst/>
                    </a:prstGeom>
                  </pic:spPr>
                </pic:pic>
              </a:graphicData>
            </a:graphic>
          </wp:inline>
        </w:drawing>
      </w:r>
    </w:p>
    <w:bookmarkEnd w:id="5265"/>
    <w:bookmarkStart w:name="637606721" w:id="5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3. Наименьшие расстояния от токоведущих частей и элементов</w:t>
      </w:r>
    </w:p>
    <w:bookmarkEnd w:id="5266"/>
    <w:bookmarkStart w:name="637606722" w:id="5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изоляции, находящихся под напряжением, до постоянных</w:t>
      </w:r>
    </w:p>
    <w:bookmarkEnd w:id="5267"/>
    <w:bookmarkStart w:name="637606723" w:id="5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внутренних ограждений.</w:t>
      </w:r>
    </w:p>
    <w:bookmarkEnd w:id="5268"/>
    <w:bookmarkStart w:name="637606724" w:id="5269"/>
    <w:p>
      <w:pPr>
        <w:spacing w:before="120" w:after="120" w:line="240"/>
        <w:ind w:left="0"/>
        <w:jc w:val="both"/>
      </w:pPr>
      <w:r>
        <w:drawing>
          <wp:inline distT="0" distB="0" distL="0" distR="0">
            <wp:extent cx="3898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898900" cy="3505200"/>
                    </a:xfrm>
                    <a:prstGeom prst="rect">
                      <a:avLst/>
                    </a:prstGeom>
                  </pic:spPr>
                </pic:pic>
              </a:graphicData>
            </a:graphic>
          </wp:inline>
        </w:drawing>
      </w:r>
    </w:p>
    <w:bookmarkEnd w:id="5269"/>
    <w:bookmarkStart w:name="637606725" w:id="5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4. Наименьшие расстояния от неогражденных токоведущих</w:t>
      </w:r>
    </w:p>
    <w:bookmarkEnd w:id="5270"/>
    <w:bookmarkStart w:name="637606726" w:id="52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частей и от нижней кромки фарфора изоляторов до земли.</w:t>
      </w:r>
    </w:p>
    <w:bookmarkEnd w:id="5271"/>
    <w:bookmarkStart w:name="637606727" w:id="5272"/>
    <w:p>
      <w:pPr>
        <w:spacing w:before="120" w:after="120" w:line="240"/>
        <w:ind w:left="0"/>
        <w:jc w:val="both"/>
      </w:pPr>
      <w:r>
        <w:drawing>
          <wp:inline distT="0" distB="0" distL="0" distR="0">
            <wp:extent cx="5397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97500" cy="4991100"/>
                    </a:xfrm>
                    <a:prstGeom prst="rect">
                      <a:avLst/>
                    </a:prstGeom>
                  </pic:spPr>
                </pic:pic>
              </a:graphicData>
            </a:graphic>
          </wp:inline>
        </w:drawing>
      </w:r>
    </w:p>
    <w:bookmarkEnd w:id="5272"/>
    <w:bookmarkStart w:name="637606728" w:id="5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5. Наименьшие расстояния от токоведущих частей</w:t>
      </w:r>
    </w:p>
    <w:bookmarkEnd w:id="5273"/>
    <w:bookmarkStart w:name="637606729" w:id="5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до транспортируемого оборудования.</w:t>
      </w:r>
    </w:p>
    <w:bookmarkEnd w:id="5274"/>
    <w:bookmarkStart w:name="637606730" w:id="5275"/>
    <w:p>
      <w:pPr>
        <w:spacing w:before="120" w:after="120" w:line="240"/>
        <w:ind w:left="0"/>
        <w:jc w:val="both"/>
      </w:pPr>
      <w:r>
        <w:drawing>
          <wp:inline distT="0" distB="0" distL="0" distR="0">
            <wp:extent cx="38608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860800" cy="2324100"/>
                    </a:xfrm>
                    <a:prstGeom prst="rect">
                      <a:avLst/>
                    </a:prstGeom>
                  </pic:spPr>
                </pic:pic>
              </a:graphicData>
            </a:graphic>
          </wp:inline>
        </w:drawing>
      </w:r>
    </w:p>
    <w:bookmarkEnd w:id="5275"/>
    <w:bookmarkStart w:name="637606731" w:id="5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6. Наименьшие расстояния между токоведущими частями разных</w:t>
      </w:r>
    </w:p>
    <w:bookmarkEnd w:id="5276"/>
    <w:bookmarkStart w:name="637606732" w:id="5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цепей, расположенных в различных плоскостях, с</w:t>
      </w:r>
    </w:p>
    <w:bookmarkEnd w:id="5277"/>
    <w:bookmarkStart w:name="637606733" w:id="52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обслуживанием нижней цепи при неотключенной верхней.</w:t>
      </w:r>
    </w:p>
    <w:bookmarkEnd w:id="5278"/>
    <w:bookmarkStart w:name="637606734" w:id="5279"/>
    <w:p>
      <w:pPr>
        <w:spacing w:before="120" w:after="120" w:line="240"/>
        <w:ind w:left="0"/>
        <w:jc w:val="both"/>
      </w:pPr>
      <w:r>
        <w:drawing>
          <wp:inline distT="0" distB="0" distL="0" distR="0">
            <wp:extent cx="5715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715000" cy="1181100"/>
                    </a:xfrm>
                    <a:prstGeom prst="rect">
                      <a:avLst/>
                    </a:prstGeom>
                  </pic:spPr>
                </pic:pic>
              </a:graphicData>
            </a:graphic>
          </wp:inline>
        </w:drawing>
      </w:r>
    </w:p>
    <w:bookmarkEnd w:id="5279"/>
    <w:bookmarkStart w:name="637606735" w:id="5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7. Наименьшие расстояния по горизонтали между</w:t>
      </w:r>
    </w:p>
    <w:bookmarkEnd w:id="5280"/>
    <w:bookmarkStart w:name="637606736" w:id="52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частями разных цепей с обслуживанием</w:t>
      </w:r>
    </w:p>
    <w:bookmarkEnd w:id="5281"/>
    <w:bookmarkStart w:name="637606737" w:id="52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одной цепи при неотключенной другой</w:t>
      </w:r>
    </w:p>
    <w:bookmarkEnd w:id="5282"/>
    <w:bookmarkStart w:name="637606738" w:id="5283"/>
    <w:p>
      <w:pPr>
        <w:spacing w:before="120" w:after="120" w:line="240"/>
        <w:ind w:left="0"/>
        <w:jc w:val="both"/>
      </w:pPr>
      <w:r>
        <w:drawing>
          <wp:inline distT="0" distB="0" distL="0" distR="0">
            <wp:extent cx="5715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15000" cy="3060700"/>
                    </a:xfrm>
                    <a:prstGeom prst="rect">
                      <a:avLst/>
                    </a:prstGeom>
                  </pic:spPr>
                </pic:pic>
              </a:graphicData>
            </a:graphic>
          </wp:inline>
        </w:drawing>
      </w:r>
    </w:p>
    <w:bookmarkEnd w:id="5283"/>
    <w:bookmarkStart w:name="637606739" w:id="5284"/>
    <w:tbl>
      <w:tblPr>
        <w:tblW w:w="17960" w:type="auto"/>
        <w:tblCellSpacing w:w="0" w:type="auto"/>
        <w:tblBorders>
          <w:top w:val="none"/>
          <w:left w:val="none"/>
          <w:bottom w:val="none"/>
          <w:right w:val="none"/>
          <w:insideH w:val="none"/>
          <w:insideV w:val="none"/>
        </w:tblBorders>
        <w:tblLayout/>
      </w:tblPr>
      <w:tblGrid>
        <w:gridCol w:w="7503"/>
        <w:gridCol w:w="8497"/>
      </w:tblGrid>
      <w:tr>
        <w:trPr>
          <w:trHeight w:val="30" w:hRule="atLeast"/>
        </w:trPr>
        <w:tc>
          <w:tcPr>
            <w:tcW w:w="75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Рис. 8. Наименьшие расстояния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от токоведущих частей до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верхней кромки внешнего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ограждения</w:t>
            </w:r>
          </w:p>
        </w:tc>
        <w:tc>
          <w:tcPr>
            <w:tcW w:w="84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Рис. 9. Наименьшие расстояния от</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контактов и ножей разъединителей</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 отключенном положении до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заземленных и токоведущих частей</w:t>
            </w:r>
          </w:p>
        </w:tc>
      </w:tr>
    </w:tbl>
    <w:bookmarkEnd w:id="5284"/>
    <w:bookmarkStart w:name="637606740" w:id="5285"/>
    <w:p>
      <w:pPr>
        <w:spacing w:before="120" w:after="120" w:line="240"/>
        <w:ind w:left="0"/>
        <w:jc w:val="both"/>
      </w:pPr>
      <w:r>
        <w:drawing>
          <wp:inline distT="0" distB="0" distL="0" distR="0">
            <wp:extent cx="3949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949700" cy="3009900"/>
                    </a:xfrm>
                    <a:prstGeom prst="rect">
                      <a:avLst/>
                    </a:prstGeom>
                  </pic:spPr>
                </pic:pic>
              </a:graphicData>
            </a:graphic>
          </wp:inline>
        </w:drawing>
      </w:r>
    </w:p>
    <w:bookmarkEnd w:id="5285"/>
    <w:bookmarkStart w:name="637606741" w:id="5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10. Наименьшие расстояния между токоведущими частями и</w:t>
      </w:r>
    </w:p>
    <w:bookmarkEnd w:id="5286"/>
    <w:bookmarkStart w:name="637606742" w:id="52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зданиями и сооружениями.</w:t>
      </w:r>
    </w:p>
    <w:bookmarkEnd w:id="5287"/>
    <w:bookmarkStart w:name="637606743" w:id="5288"/>
    <w:p>
      <w:pPr>
        <w:spacing w:before="120" w:after="120" w:line="240"/>
        <w:ind w:left="0"/>
        <w:jc w:val="both"/>
      </w:pPr>
      <w:r>
        <w:rPr>
          <w:rFonts w:hint="default" w:ascii="Times New Roman" w:hAnsi="Times New Roman"/>
          <w:b/>
          <w:i w:val="false"/>
          <w:color w:val="000000"/>
          <w:sz w:val="24"/>
        </w:rPr>
        <w:t>Наименьшее расстояние от открыто установленных электротехнических устройств до водоохладителей подстанций</w:t>
      </w:r>
    </w:p>
    <w:bookmarkEnd w:id="5288"/>
    <w:bookmarkStart w:name="637606744" w:id="528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131</w:t>
      </w:r>
    </w:p>
    <w:bookmarkEnd w:id="5289"/>
    <w:bookmarkStart w:name="637606745" w:id="5290"/>
    <w:tbl>
      <w:tblPr>
        <w:tblW w:w="18660" w:type="auto"/>
        <w:tblCellSpacing w:w="0" w:type="auto"/>
        <w:tblBorders>
          <w:top w:val="none"/>
          <w:left w:val="none"/>
          <w:bottom w:val="none"/>
          <w:right w:val="none"/>
          <w:insideH w:val="none"/>
          <w:insideV w:val="none"/>
        </w:tblBorders>
        <w:tblLayout/>
      </w:tblPr>
      <w:tblGrid>
        <w:gridCol w:w="8685"/>
        <w:gridCol w:w="7315"/>
      </w:tblGrid>
      <w:tr>
        <w:trPr>
          <w:trHeight w:val="30" w:hRule="atLeast"/>
        </w:trPr>
        <w:tc>
          <w:tcPr>
            <w:tcW w:w="8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Водоохладитель</w:t>
            </w:r>
          </w:p>
        </w:tc>
        <w:tc>
          <w:tcPr>
            <w:tcW w:w="73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86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Брызгальные устройства и открытие градирни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Башенные и одновентиляторные градирни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Секционные вентиляторные градирни</w:t>
            </w:r>
          </w:p>
        </w:tc>
        <w:tc>
          <w:tcPr>
            <w:tcW w:w="731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w:t>
            </w:r>
          </w:p>
        </w:tc>
      </w:tr>
    </w:tbl>
    <w:bookmarkEnd w:id="5290"/>
    <w:bookmarkStart w:name="637606746" w:id="5291"/>
    <w:p>
      <w:pPr>
        <w:spacing w:before="120" w:after="120" w:line="240"/>
        <w:ind w:left="0"/>
        <w:jc w:val="both"/>
      </w:pPr>
      <w:r>
        <w:rPr>
          <w:rFonts w:hint="default" w:ascii="Times New Roman" w:hAnsi="Times New Roman"/>
          <w:b/>
          <w:i w:val="false"/>
          <w:color w:val="000000"/>
          <w:sz w:val="24"/>
        </w:rPr>
        <w:t>Наименьшее расстояние от складов водорода до здания подстанции и опор ВЛ</w:t>
      </w:r>
    </w:p>
    <w:bookmarkEnd w:id="5291"/>
    <w:bookmarkStart w:name="637606747" w:id="529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132</w:t>
      </w:r>
    </w:p>
    <w:bookmarkEnd w:id="5292"/>
    <w:bookmarkStart w:name="637606748" w:id="5293"/>
    <w:tbl>
      <w:tblPr>
        <w:tblW w:w="18660" w:type="auto"/>
        <w:tblCellSpacing w:w="0" w:type="auto"/>
        <w:tblBorders>
          <w:top w:val="none"/>
          <w:left w:val="none"/>
          <w:bottom w:val="none"/>
          <w:right w:val="none"/>
          <w:insideH w:val="none"/>
          <w:insideV w:val="none"/>
        </w:tblBorders>
        <w:tblLayout/>
      </w:tblPr>
      <w:tblGrid>
        <w:gridCol w:w="5644"/>
        <w:gridCol w:w="5180"/>
        <w:gridCol w:w="5176"/>
      </w:tblGrid>
      <w:tr>
        <w:trPr>
          <w:trHeight w:val="30" w:hRule="atLeast"/>
        </w:trPr>
        <w:tc>
          <w:tcPr>
            <w:tcW w:w="564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хранимых на складе баллонов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0" w:type="auto"/>
            <w:vMerge/>
            <w:tcBorders>
              <w:top w:val="nil"/>
              <w:left w:val="single" w:color="cfcfcf" w:sz="8"/>
              <w:bottom w:val="single" w:color="cfcfcf" w:sz="8"/>
              <w:right w:val="single" w:color="cfcfcf" w:sz="8"/>
            </w:tcBorders>
          </w:tcPr>
          <w:p/>
        </w:tc>
        <w:tc>
          <w:tcPr>
            <w:tcW w:w="51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зданий подстанций</w:t>
            </w:r>
          </w:p>
        </w:tc>
        <w:tc>
          <w:tcPr>
            <w:tcW w:w="51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опор ВЛ</w:t>
            </w:r>
          </w:p>
        </w:tc>
      </w:tr>
      <w:tr>
        <w:trPr>
          <w:trHeight w:val="30" w:hRule="atLeast"/>
        </w:trPr>
        <w:tc>
          <w:tcPr>
            <w:tcW w:w="56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Более 500</w:t>
            </w:r>
          </w:p>
        </w:tc>
        <w:tc>
          <w:tcPr>
            <w:tcW w:w="51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p>
        </w:tc>
        <w:tc>
          <w:tcPr>
            <w:tcW w:w="51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 высоты опоры</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 высоты опоры</w:t>
            </w:r>
          </w:p>
        </w:tc>
      </w:tr>
    </w:tbl>
    <w:bookmarkEnd w:id="5293"/>
    <w:bookmarkStart w:name="637606749" w:id="5294"/>
    <w:p>
      <w:pPr>
        <w:spacing w:before="120" w:after="120" w:line="240"/>
        <w:ind w:left="0"/>
        <w:jc w:val="both"/>
      </w:pPr>
      <w:r>
        <w:drawing>
          <wp:inline distT="0" distB="0" distL="0" distR="0">
            <wp:extent cx="57150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715000" cy="8255000"/>
                    </a:xfrm>
                    <a:prstGeom prst="rect">
                      <a:avLst/>
                    </a:prstGeom>
                  </pic:spPr>
                </pic:pic>
              </a:graphicData>
            </a:graphic>
          </wp:inline>
        </w:drawing>
      </w:r>
    </w:p>
    <w:bookmarkEnd w:id="5294"/>
    <w:bookmarkStart w:name="637606750" w:id="5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11. Требования к открытой установке маслонаполненных</w:t>
      </w:r>
    </w:p>
    <w:bookmarkEnd w:id="5295"/>
    <w:bookmarkStart w:name="637606751" w:id="52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трансформаторов у зданий с производствами</w:t>
      </w:r>
    </w:p>
    <w:bookmarkEnd w:id="5296"/>
    <w:bookmarkStart w:name="637606752" w:id="52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категории Г и Д (по противопожарным нормам):</w:t>
      </w:r>
    </w:p>
    <w:bookmarkEnd w:id="5297"/>
    <w:bookmarkStart w:name="637606753" w:id="5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 обычное окно;</w:t>
      </w:r>
    </w:p>
    <w:bookmarkEnd w:id="5298"/>
    <w:bookmarkStart w:name="637606754" w:id="52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 неоткрывающееся окно с несгораемым заполнением;</w:t>
      </w:r>
    </w:p>
    <w:bookmarkEnd w:id="5299"/>
    <w:bookmarkStart w:name="637606755" w:id="5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 окно, открывающееся внутрь здания, с металлической</w:t>
      </w:r>
    </w:p>
    <w:bookmarkEnd w:id="5300"/>
    <w:bookmarkStart w:name="637606756" w:id="5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сеткой снаружи;</w:t>
      </w:r>
    </w:p>
    <w:bookmarkEnd w:id="5301"/>
    <w:bookmarkStart w:name="637606757" w:id="53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 огнестойкая дверь.</w:t>
      </w:r>
    </w:p>
    <w:bookmarkEnd w:id="5302"/>
    <w:bookmarkStart w:name="637606758" w:id="5303"/>
    <w:p>
      <w:pPr>
        <w:spacing w:before="120" w:after="120" w:line="240"/>
        <w:ind w:left="0"/>
        <w:jc w:val="both"/>
      </w:pPr>
      <w:r>
        <w:rPr>
          <w:rFonts w:hint="default" w:ascii="Times New Roman" w:hAnsi="Times New Roman"/>
          <w:b/>
          <w:i w:val="false"/>
          <w:color w:val="000000"/>
          <w:sz w:val="24"/>
        </w:rPr>
        <w:t>Наименьшее расстояние в свету от токоведущих частей до различных элементов ЗРУ</w:t>
      </w:r>
    </w:p>
    <w:bookmarkEnd w:id="5303"/>
    <w:bookmarkStart w:name="637606759" w:id="530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133</w:t>
      </w:r>
    </w:p>
    <w:bookmarkEnd w:id="5304"/>
    <w:bookmarkStart w:name="637606760" w:id="5305"/>
    <w:tbl>
      <w:tblPr>
        <w:tblW w:w="18660" w:type="auto"/>
        <w:tblCellSpacing w:w="0" w:type="auto"/>
        <w:tblBorders>
          <w:top w:val="none"/>
          <w:left w:val="none"/>
          <w:bottom w:val="none"/>
          <w:right w:val="none"/>
          <w:insideH w:val="none"/>
          <w:insideV w:val="none"/>
        </w:tblBorders>
        <w:tblLayout/>
      </w:tblPr>
      <w:tblGrid>
        <w:gridCol w:w="1444"/>
        <w:gridCol w:w="5147"/>
        <w:gridCol w:w="1309"/>
        <w:gridCol w:w="1271"/>
        <w:gridCol w:w="1382"/>
        <w:gridCol w:w="1271"/>
        <w:gridCol w:w="1397"/>
        <w:gridCol w:w="1413"/>
        <w:gridCol w:w="1366"/>
      </w:tblGrid>
      <w:tr>
        <w:trPr>
          <w:trHeight w:val="30" w:hRule="atLeast"/>
        </w:trPr>
        <w:tc>
          <w:tcPr>
            <w:tcW w:w="144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Номер рисунка</w:t>
            </w:r>
          </w:p>
        </w:tc>
        <w:tc>
          <w:tcPr>
            <w:tcW w:w="514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расстояний</w:t>
            </w:r>
          </w:p>
        </w:tc>
        <w:tc>
          <w:tcPr>
            <w:tcW w:w="130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Обозначение</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Изоляционное расстояние, мм, для напряжения, кВ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до заземленных конструкций и частей зданий</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ф-3</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проводниками разных фаз</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ф-ф</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до сплошных ограждений</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1020</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токоведущих частей до сетчатых ограждений</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1020</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Между неогражденными токоведущими частями ведущих цепей</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2800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1021</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неогражденных токоведущих частей до пола</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2700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2700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3300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3700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1021</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неогражденных выводов из ЗРУ до земли при выходе их не на территорию ОРУ и при отсутствии проезда под выводами</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Е</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4750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4750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5400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6000</w:t>
            </w:r>
          </w:p>
        </w:tc>
      </w:tr>
      <w:tr>
        <w:trPr>
          <w:trHeight w:val="30" w:hRule="atLeast"/>
        </w:trPr>
        <w:tc>
          <w:tcPr>
            <w:tcW w:w="144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1020</w:t>
            </w:r>
          </w:p>
        </w:tc>
        <w:tc>
          <w:tcPr>
            <w:tcW w:w="51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контакта и ножа разъединителя в отключенном положении до ошиновки, присоединенной ко второму контакту</w:t>
            </w:r>
          </w:p>
        </w:tc>
        <w:tc>
          <w:tcPr>
            <w:tcW w:w="13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3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12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3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c>
          <w:tcPr>
            <w:tcW w:w="141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850</w:t>
            </w:r>
          </w:p>
        </w:tc>
        <w:tc>
          <w:tcPr>
            <w:tcW w:w="13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1800</w:t>
            </w:r>
          </w:p>
        </w:tc>
      </w:tr>
    </w:tbl>
    <w:bookmarkEnd w:id="5305"/>
    <w:bookmarkStart w:name="637606761" w:id="5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В знаменателе приведены расстояния в случае использования для защиты элементов ЗРУ 110 и 220 кВ ограничителей перенапряжений с защитным уровнем фаза-земля 1,8.</w:t>
      </w:r>
    </w:p>
    <w:bookmarkEnd w:id="5306"/>
    <w:bookmarkStart w:name="637606762" w:id="5307"/>
    <w:p>
      <w:pPr>
        <w:spacing w:before="120" w:after="120" w:line="240"/>
        <w:ind w:left="0"/>
        <w:jc w:val="both"/>
      </w:pPr>
      <w:r>
        <w:drawing>
          <wp:inline distT="0" distB="0" distL="0" distR="0">
            <wp:extent cx="5715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715000" cy="2133600"/>
                    </a:xfrm>
                    <a:prstGeom prst="rect">
                      <a:avLst/>
                    </a:prstGeom>
                  </pic:spPr>
                </pic:pic>
              </a:graphicData>
            </a:graphic>
          </wp:inline>
        </w:drawing>
      </w:r>
    </w:p>
    <w:bookmarkEnd w:id="5307"/>
    <w:bookmarkStart w:name="637606763" w:id="5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12. Наименьшие расстояния в свету между неизолированными</w:t>
      </w:r>
    </w:p>
    <w:bookmarkEnd w:id="5308"/>
    <w:bookmarkStart w:name="637606764" w:id="5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частями разных фаз в ЗРУ и между ними и</w:t>
      </w:r>
    </w:p>
    <w:bookmarkEnd w:id="5309"/>
    <w:bookmarkStart w:name="637606765" w:id="53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заземленными частями (по таблице 133)</w:t>
      </w:r>
    </w:p>
    <w:bookmarkEnd w:id="5310"/>
    <w:bookmarkStart w:name="637606766" w:id="5311"/>
    <w:p>
      <w:pPr>
        <w:spacing w:before="120" w:after="120" w:line="240"/>
        <w:ind w:left="0"/>
        <w:jc w:val="both"/>
      </w:pPr>
      <w:r>
        <w:drawing>
          <wp:inline distT="0" distB="0" distL="0" distR="0">
            <wp:extent cx="3048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048000" cy="4610100"/>
                    </a:xfrm>
                    <a:prstGeom prst="rect">
                      <a:avLst/>
                    </a:prstGeom>
                  </pic:spPr>
                </pic:pic>
              </a:graphicData>
            </a:graphic>
          </wp:inline>
        </w:drawing>
      </w:r>
    </w:p>
    <w:bookmarkEnd w:id="5311"/>
    <w:bookmarkStart w:name="637606767" w:id="5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13. Наименьшие расстояния между неизолированными</w:t>
      </w:r>
    </w:p>
    <w:bookmarkEnd w:id="5312"/>
    <w:bookmarkStart w:name="637606768" w:id="5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токоведущими частями в ЗРУ и сплошными ограждениями</w:t>
      </w:r>
    </w:p>
    <w:bookmarkEnd w:id="5313"/>
    <w:bookmarkStart w:name="637606769" w:id="5314"/>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(по таблице 133)</w:t>
      </w:r>
    </w:p>
    <w:bookmarkEnd w:id="5314"/>
    <w:bookmarkStart w:name="637606770" w:id="5315"/>
    <w:p>
      <w:pPr>
        <w:spacing w:before="120" w:after="120" w:line="240"/>
        <w:ind w:left="0"/>
        <w:jc w:val="both"/>
      </w:pPr>
      <w:r>
        <w:drawing>
          <wp:inline distT="0" distB="0" distL="0" distR="0">
            <wp:extent cx="4737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737100" cy="5600700"/>
                    </a:xfrm>
                    <a:prstGeom prst="rect">
                      <a:avLst/>
                    </a:prstGeom>
                  </pic:spPr>
                </pic:pic>
              </a:graphicData>
            </a:graphic>
          </wp:inline>
        </w:drawing>
      </w:r>
    </w:p>
    <w:bookmarkEnd w:id="5315"/>
    <w:bookmarkStart w:name="637606771" w:id="5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14. Наименьшие расстояния от неизолированных токоведущих</w:t>
      </w:r>
    </w:p>
    <w:bookmarkEnd w:id="5316"/>
    <w:bookmarkStart w:name="637606772" w:id="5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частей в ЗРУ до сетчатых ограждений и между</w:t>
      </w:r>
    </w:p>
    <w:bookmarkEnd w:id="5317"/>
    <w:bookmarkStart w:name="637606773" w:id="53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неогражденными неизолированными токоведущими частями</w:t>
      </w:r>
    </w:p>
    <w:bookmarkEnd w:id="5318"/>
    <w:bookmarkStart w:name="637606774" w:id="53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разных цепей (по таблице 133)</w:t>
      </w:r>
    </w:p>
    <w:bookmarkEnd w:id="5319"/>
    <w:bookmarkStart w:name="637606775" w:id="5320"/>
    <w:p>
      <w:pPr>
        <w:spacing w:before="120" w:after="120" w:line="240"/>
        <w:ind w:left="0"/>
        <w:jc w:val="both"/>
      </w:pPr>
      <w:r>
        <w:drawing>
          <wp:inline distT="0" distB="0" distL="0" distR="0">
            <wp:extent cx="30099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09900" cy="6057900"/>
                    </a:xfrm>
                    <a:prstGeom prst="rect">
                      <a:avLst/>
                    </a:prstGeom>
                  </pic:spPr>
                </pic:pic>
              </a:graphicData>
            </a:graphic>
          </wp:inline>
        </w:drawing>
      </w:r>
    </w:p>
    <w:bookmarkEnd w:id="5320"/>
    <w:bookmarkStart w:name="637606776" w:id="5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15. Наименьшие расстояния от пола до неогражденных</w:t>
      </w:r>
    </w:p>
    <w:bookmarkEnd w:id="5321"/>
    <w:bookmarkStart w:name="637606777" w:id="53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неизолированных токоведущих частей и до нижней кромки</w:t>
      </w:r>
    </w:p>
    <w:bookmarkEnd w:id="5322"/>
    <w:bookmarkStart w:name="637606778" w:id="5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фарфора изолятора и высота прохода в ЗРУ. Наименьшие</w:t>
      </w:r>
    </w:p>
    <w:bookmarkEnd w:id="5323"/>
    <w:bookmarkStart w:name="637606779" w:id="5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расстояния от земли до неогражденных линейных выводов</w:t>
      </w:r>
    </w:p>
    <w:bookmarkEnd w:id="5324"/>
    <w:bookmarkStart w:name="637606780" w:id="5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из ЗРУ вне территории ОРУ и при отсутствии проезда</w:t>
      </w:r>
    </w:p>
    <w:bookmarkEnd w:id="5325"/>
    <w:bookmarkStart w:name="637606781" w:id="5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транспорта под выводами</w:t>
      </w:r>
    </w:p>
    <w:bookmarkEnd w:id="5326"/>
    <w:bookmarkStart w:name="637606782" w:id="5327"/>
    <w:p>
      <w:pPr>
        <w:spacing w:before="120" w:after="120" w:line="240"/>
        <w:ind w:left="0"/>
        <w:jc w:val="both"/>
      </w:pPr>
      <w:r>
        <w:rPr>
          <w:rFonts w:hint="default" w:ascii="Times New Roman" w:hAnsi="Times New Roman"/>
          <w:b/>
          <w:i w:val="false"/>
          <w:color w:val="000000"/>
          <w:sz w:val="24"/>
        </w:rPr>
        <w:t>Защита ВЛ от прямых ударов молнии на подходах к РУ и подстанциям</w:t>
      </w:r>
    </w:p>
    <w:bookmarkEnd w:id="5327"/>
    <w:bookmarkStart w:name="637606783" w:id="532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134</w:t>
      </w:r>
    </w:p>
    <w:bookmarkEnd w:id="5328"/>
    <w:bookmarkStart w:name="637606784" w:id="5329"/>
    <w:tbl>
      <w:tblPr>
        <w:tblW w:w="18660" w:type="auto"/>
        <w:tblCellSpacing w:w="0" w:type="auto"/>
        <w:tblBorders>
          <w:top w:val="none"/>
          <w:left w:val="none"/>
          <w:bottom w:val="none"/>
          <w:right w:val="none"/>
          <w:insideH w:val="none"/>
          <w:insideV w:val="none"/>
        </w:tblBorders>
        <w:tblLayout/>
      </w:tblPr>
      <w:tblGrid>
        <w:gridCol w:w="655"/>
        <w:gridCol w:w="669"/>
        <w:gridCol w:w="935"/>
        <w:gridCol w:w="5464"/>
        <w:gridCol w:w="156"/>
        <w:gridCol w:w="630"/>
        <w:gridCol w:w="618"/>
        <w:gridCol w:w="5469"/>
        <w:gridCol w:w="123"/>
        <w:gridCol w:w="639"/>
        <w:gridCol w:w="642"/>
      </w:tblGrid>
      <w:tr>
        <w:trPr>
          <w:trHeight w:val="30" w:hRule="atLeast"/>
        </w:trPr>
        <w:tc>
          <w:tcPr>
            <w:tcW w:w="65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ВЛ, кВ</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Подходы ВЛ на портальных опорах с двумя тросами</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Подходы ВЛ на одностоечных опорах</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Наибольшее допустимое сопротивление заземляющего устройства опор, Ом, при эквивалентном удельном сопротивлении земли, Ом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r>
      <w:tr>
        <w:trPr>
          <w:trHeight w:val="15" w:hRule="atLeast"/>
        </w:trPr>
        <w:tc>
          <w:tcPr>
            <w:tcW w:w="0" w:type="auto"/>
            <w:vMerge/>
            <w:tcBorders>
              <w:top w:val="nil"/>
              <w:left w:val="single" w:color="cfcfcf" w:sz="8"/>
              <w:bottom w:val="single" w:color="cfcfcf" w:sz="8"/>
              <w:right w:val="single" w:color="cfcfcf" w:sz="8"/>
            </w:tcBorders>
          </w:tcPr>
          <w:p/>
        </w:tc>
        <w:tc>
          <w:tcPr>
            <w:tcW w:w="6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Длина защищаемого подхода с повышенным защитным уровнем, км *</w:t>
            </w:r>
          </w:p>
        </w:tc>
        <w:tc>
          <w:tcPr>
            <w:tcW w:w="93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Защитный угол троса, град</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Длина защищаемого подхода с повышенным защитным уровнем, км *</w:t>
            </w:r>
          </w:p>
        </w:tc>
        <w:tc>
          <w:tcPr>
            <w:tcW w:w="63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тросов, шт.</w:t>
            </w:r>
          </w:p>
        </w:tc>
        <w:tc>
          <w:tcPr>
            <w:tcW w:w="61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Защитный угол троса, град</w:t>
            </w:r>
          </w:p>
        </w:tc>
        <w:tc>
          <w:tcPr>
            <w:tcW w:w="0" w:type="auto"/>
            <w:gridSpan w:val="4"/>
            <w:tcBorders>
              <w:left w:val="single" w:color="cfcfcf" w:sz="8"/>
              <w:bottom w:val="single" w:color="cfcfcf" w:sz="8"/>
              <w:right w:val="single" w:color="cfcfcf" w:sz="8"/>
            </w:tcBorders>
            <w:vAlign w:val="center"/>
          </w:tcPr>
          <w:p>
            <w:pPr>
              <w:spacing w:after="0"/>
              <w:ind w:left="0"/>
              <w:jc w:val="left"/>
            </w:pP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2"/>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100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100 до 500</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500</w:t>
            </w: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3</w:t>
            </w:r>
          </w:p>
        </w:tc>
        <w:tc>
          <w:tcPr>
            <w:tcW w:w="9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6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0"/>
              <w:jc w:val="left"/>
            </w:pP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935"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630" w:type="dxa"/>
            <w:tcBorders>
              <w:top w:val="single" w:color="cfcfcf" w:sz="8"/>
              <w:left w:val="single" w:color="cfcfcf" w:sz="8"/>
              <w:bottom w:val="single" w:color="cfcfcf" w:sz="8"/>
              <w:right w:val="single" w:color="cfcfcf" w:sz="8"/>
            </w:tcBorders>
            <w:vAlign w:val="center"/>
          </w:tcPr>
          <w:p>
            <w:pPr>
              <w:spacing w:after="0"/>
              <w:ind w:left="0"/>
              <w:jc w:val="left"/>
            </w:pPr>
          </w:p>
        </w:tc>
        <w:tc>
          <w:tcPr>
            <w:tcW w:w="618" w:type="dxa"/>
            <w:tcBorders>
              <w:top w:val="single" w:color="cfcfcf" w:sz="8"/>
              <w:left w:val="single" w:color="cfcfcf" w:sz="8"/>
              <w:bottom w:val="single" w:color="cfcfcf" w:sz="8"/>
              <w:right w:val="single" w:color="cfcfcf" w:sz="8"/>
            </w:tcBorders>
            <w:vAlign w:val="center"/>
          </w:tcPr>
          <w:p>
            <w:pPr>
              <w:spacing w:after="0"/>
              <w:ind w:left="0"/>
              <w:jc w:val="left"/>
            </w:pP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639" w:type="dxa"/>
            <w:tcBorders>
              <w:top w:val="single" w:color="cfcfcf" w:sz="8"/>
              <w:left w:val="single" w:color="cfcfcf" w:sz="8"/>
              <w:bottom w:val="single" w:color="cfcfcf" w:sz="8"/>
              <w:right w:val="single" w:color="cfcfcf" w:sz="8"/>
            </w:tcBorders>
            <w:vAlign w:val="center"/>
          </w:tcPr>
          <w:p>
            <w:pPr>
              <w:spacing w:after="0"/>
              <w:ind w:left="0"/>
              <w:jc w:val="left"/>
            </w:pPr>
          </w:p>
        </w:tc>
        <w:tc>
          <w:tcPr>
            <w:tcW w:w="642"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9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6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5</w:t>
            </w: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9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6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5</w:t>
            </w: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9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6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*5</w:t>
            </w:r>
          </w:p>
        </w:tc>
      </w:tr>
      <w:tr>
        <w:trPr>
          <w:trHeight w:val="30" w:hRule="atLeast"/>
        </w:trPr>
        <w:tc>
          <w:tcPr>
            <w:tcW w:w="65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w:t>
            </w:r>
          </w:p>
        </w:tc>
        <w:tc>
          <w:tcPr>
            <w:tcW w:w="9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63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61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5</w:t>
            </w:r>
          </w:p>
        </w:tc>
      </w:tr>
    </w:tbl>
    <w:bookmarkEnd w:id="5329"/>
    <w:bookmarkStart w:name="637606785" w:id="53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Выбор длины защищаемого подхода производится с учетом расстояний между вентильным разрядником и защищаемым оборудованием, указанных в таблице 136.</w:t>
      </w:r>
    </w:p>
    <w:bookmarkEnd w:id="5330"/>
    <w:bookmarkStart w:name="637606786" w:id="5331"/>
    <w:p>
      <w:pPr>
        <w:spacing w:before="120" w:after="120" w:line="240"/>
        <w:ind w:left="0"/>
        <w:jc w:val="both"/>
      </w:pPr>
      <w:r>
        <w:rPr>
          <w:rFonts w:hint="default" w:ascii="Times New Roman" w:hAnsi="Times New Roman"/>
          <w:b w:val="false"/>
          <w:i w:val="false"/>
          <w:color w:val="000000"/>
          <w:sz w:val="24"/>
        </w:rPr>
        <w:t>*</w:t>
      </w: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На подходах ВЛ 110–220кВ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p>
    <w:bookmarkEnd w:id="5331"/>
    <w:bookmarkStart w:name="637606787" w:id="5332"/>
    <w:p>
      <w:pPr>
        <w:spacing w:before="120" w:after="120" w:line="240"/>
        <w:ind w:left="0"/>
        <w:jc w:val="both"/>
      </w:pPr>
      <w:r>
        <w:rPr>
          <w:rFonts w:hint="default" w:ascii="Times New Roman" w:hAnsi="Times New Roman"/>
          <w:b w:val="false"/>
          <w:i w:val="false"/>
          <w:color w:val="000000"/>
          <w:sz w:val="24"/>
        </w:rPr>
        <w:t>*</w:t>
      </w:r>
      <w:r>
        <w:rPr>
          <w:rFonts w:hint="default" w:ascii="Times New Roman" w:hAnsi="Times New Roman"/>
          <w:b w:val="false"/>
          <w:i w:val="false"/>
          <w:color w:val="000000"/>
          <w:vertAlign w:val="superscript"/>
        </w:rPr>
        <w:t>3</w:t>
      </w:r>
      <w:r>
        <w:rPr>
          <w:rFonts w:hint="default" w:ascii="Times New Roman" w:hAnsi="Times New Roman"/>
          <w:b w:val="false"/>
          <w:i w:val="false"/>
          <w:color w:val="000000"/>
          <w:sz w:val="24"/>
        </w:rPr>
        <w:t xml:space="preserve"> Применяется только для подстанций с трансформаторами мощностью до 1,6 МВ А.</w:t>
      </w:r>
    </w:p>
    <w:bookmarkEnd w:id="5332"/>
    <w:bookmarkStart w:name="637606788" w:id="5333"/>
    <w:p>
      <w:pPr>
        <w:spacing w:before="120" w:after="120" w:line="240"/>
        <w:ind w:left="0"/>
        <w:jc w:val="both"/>
      </w:pPr>
      <w:r>
        <w:rPr>
          <w:rFonts w:hint="default" w:ascii="Times New Roman" w:hAnsi="Times New Roman"/>
          <w:b w:val="false"/>
          <w:i w:val="false"/>
          <w:color w:val="000000"/>
          <w:sz w:val="24"/>
        </w:rPr>
        <w:t>*</w:t>
      </w:r>
      <w:r>
        <w:rPr>
          <w:rFonts w:hint="default" w:ascii="Times New Roman" w:hAnsi="Times New Roman"/>
          <w:b w:val="false"/>
          <w:i w:val="false"/>
          <w:color w:val="000000"/>
          <w:vertAlign w:val="superscript"/>
        </w:rPr>
        <w:t>4</w:t>
      </w:r>
      <w:r>
        <w:rPr>
          <w:rFonts w:hint="default" w:ascii="Times New Roman" w:hAnsi="Times New Roman"/>
          <w:b w:val="false"/>
          <w:i w:val="false"/>
          <w:color w:val="000000"/>
          <w:sz w:val="24"/>
        </w:rPr>
        <w:t xml:space="preserve"> На одностоечных железобетонных опорах допускается угол защиты до 30</w:t>
      </w:r>
      <w:r>
        <w:rPr>
          <w:rFonts w:hint="default" w:ascii="Times New Roman" w:hAnsi="Times New Roman"/>
          <w:b w:val="false"/>
          <w:i w:val="false"/>
          <w:color w:val="000000"/>
          <w:vertAlign w:val="superscript"/>
        </w:rPr>
        <w:t>o</w:t>
      </w:r>
      <w:r>
        <w:rPr>
          <w:rFonts w:hint="default" w:ascii="Times New Roman" w:hAnsi="Times New Roman"/>
          <w:b w:val="false"/>
          <w:i w:val="false"/>
          <w:color w:val="000000"/>
          <w:sz w:val="24"/>
        </w:rPr>
        <w:t xml:space="preserve"> .</w:t>
      </w:r>
    </w:p>
    <w:bookmarkEnd w:id="5333"/>
    <w:bookmarkStart w:name="637606789" w:id="5334"/>
    <w:p>
      <w:pPr>
        <w:spacing w:before="120" w:after="120" w:line="240"/>
        <w:ind w:left="0"/>
        <w:jc w:val="both"/>
      </w:pPr>
      <w:r>
        <w:rPr>
          <w:rFonts w:hint="default" w:ascii="Times New Roman" w:hAnsi="Times New Roman"/>
          <w:b w:val="false"/>
          <w:i w:val="false"/>
          <w:color w:val="000000"/>
          <w:sz w:val="24"/>
        </w:rPr>
        <w:t>*</w:t>
      </w:r>
      <w:r>
        <w:rPr>
          <w:rFonts w:hint="default" w:ascii="Times New Roman" w:hAnsi="Times New Roman"/>
          <w:b w:val="false"/>
          <w:i w:val="false"/>
          <w:color w:val="000000"/>
          <w:vertAlign w:val="superscript"/>
        </w:rPr>
        <w:t>5</w:t>
      </w:r>
      <w:r>
        <w:rPr>
          <w:rFonts w:hint="default" w:ascii="Times New Roman" w:hAnsi="Times New Roman"/>
          <w:b w:val="false"/>
          <w:i w:val="false"/>
          <w:color w:val="000000"/>
          <w:sz w:val="24"/>
        </w:rPr>
        <w:t xml:space="preserve"> Для портальных опор, устанавливаемых в земле с эквивалентным удельным сопротивлением более 1000 Ом</w:t>
      </w:r>
      <w:r>
        <w:rPr>
          <w:rFonts w:hint="default" w:ascii="Times New Roman" w:hAnsi="Times New Roman"/>
          <w:b w:val="false"/>
          <w:i w:val="false"/>
          <w:color w:val="000000"/>
          <w:vertAlign w:val="superscript"/>
        </w:rPr>
        <w:t>.</w:t>
      </w:r>
      <w:r>
        <w:rPr>
          <w:rFonts w:hint="default" w:ascii="Times New Roman" w:hAnsi="Times New Roman"/>
          <w:b w:val="false"/>
          <w:i w:val="false"/>
          <w:color w:val="000000"/>
          <w:sz w:val="24"/>
        </w:rPr>
        <w:t xml:space="preserve"> м, допускается сопротивление заземляющего устройства более 20, но не более 30 Ом.</w:t>
      </w:r>
    </w:p>
    <w:bookmarkEnd w:id="5334"/>
    <w:bookmarkStart w:name="637606790" w:id="5335"/>
    <w:p>
      <w:pPr>
        <w:spacing w:before="120" w:after="120" w:line="240"/>
        <w:ind w:left="0"/>
        <w:jc w:val="both"/>
      </w:pPr>
      <w:r>
        <w:rPr>
          <w:rFonts w:hint="default" w:ascii="Times New Roman" w:hAnsi="Times New Roman"/>
          <w:b/>
          <w:i w:val="false"/>
          <w:color w:val="000000"/>
          <w:sz w:val="24"/>
        </w:rPr>
        <w:t>Рекомендуемый размер основных и дополнительных защитных промежутков</w:t>
      </w:r>
    </w:p>
    <w:bookmarkEnd w:id="5335"/>
    <w:bookmarkStart w:name="637606791" w:id="5336"/>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135</w:t>
      </w:r>
    </w:p>
    <w:bookmarkEnd w:id="5336"/>
    <w:bookmarkStart w:name="637606792" w:id="5337"/>
    <w:tbl>
      <w:tblPr>
        <w:tblW w:w="18660" w:type="auto"/>
        <w:tblCellSpacing w:w="0" w:type="auto"/>
        <w:tblBorders>
          <w:top w:val="none"/>
          <w:left w:val="none"/>
          <w:bottom w:val="none"/>
          <w:right w:val="none"/>
          <w:insideH w:val="none"/>
          <w:insideV w:val="none"/>
        </w:tblBorders>
        <w:tblLayout/>
      </w:tblPr>
      <w:tblGrid>
        <w:gridCol w:w="5850"/>
        <w:gridCol w:w="5100"/>
        <w:gridCol w:w="5050"/>
      </w:tblGrid>
      <w:tr>
        <w:trPr>
          <w:trHeight w:val="30" w:hRule="atLeast"/>
        </w:trPr>
        <w:tc>
          <w:tcPr>
            <w:tcW w:w="585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Номинальное напряжение,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 защитных промежутков, мм</w:t>
            </w:r>
          </w:p>
        </w:tc>
      </w:tr>
      <w:tr>
        <w:trPr>
          <w:trHeight w:val="30" w:hRule="atLeast"/>
        </w:trPr>
        <w:tc>
          <w:tcPr>
            <w:tcW w:w="0" w:type="auto"/>
            <w:vMerge/>
            <w:tcBorders>
              <w:top w:val="nil"/>
              <w:left w:val="single" w:color="cfcfcf" w:sz="8"/>
              <w:bottom w:val="single" w:color="cfcfcf" w:sz="8"/>
              <w:right w:val="single" w:color="cfcfcf" w:sz="8"/>
            </w:tcBorders>
          </w:tcP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основных</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дополнительных</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8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51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3000</w:t>
            </w:r>
          </w:p>
        </w:tc>
        <w:tc>
          <w:tcPr>
            <w:tcW w:w="50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5337"/>
    <w:bookmarkStart w:name="637606793" w:id="5338"/>
    <w:p>
      <w:pPr>
        <w:spacing w:before="120" w:after="120" w:line="240"/>
        <w:ind w:left="0"/>
        <w:jc w:val="both"/>
      </w:pPr>
      <w:r>
        <w:rPr>
          <w:rFonts w:hint="default" w:ascii="Times New Roman" w:hAnsi="Times New Roman"/>
          <w:b/>
          <w:i w:val="false"/>
          <w:color w:val="000000"/>
          <w:sz w:val="24"/>
        </w:rPr>
        <w:t>Наибольшее допустимое расстояние от вентильных разрядников до защищаемого оборудования 35–220 кВ</w:t>
      </w:r>
    </w:p>
    <w:bookmarkEnd w:id="5338"/>
    <w:bookmarkStart w:name="637606794" w:id="533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136</w:t>
      </w:r>
    </w:p>
    <w:bookmarkEnd w:id="5339"/>
    <w:bookmarkStart w:name="637606795" w:id="5340"/>
    <w:tbl>
      <w:tblPr>
        <w:tblW w:w="0" w:type="auto"/>
        <w:tblCellSpacing w:w="0" w:type="auto"/>
        <w:tblBorders>
          <w:top w:val="none"/>
          <w:left w:val="none"/>
          <w:bottom w:val="none"/>
          <w:right w:val="none"/>
          <w:insideH w:val="none"/>
          <w:insideV w:val="none"/>
        </w:tblBorders>
        <w:tblLayout/>
      </w:tblPr>
      <w:tblGrid>
        <w:gridCol w:w="999"/>
        <w:gridCol w:w="1332"/>
        <w:gridCol w:w="999"/>
        <w:gridCol w:w="499"/>
        <w:gridCol w:w="666"/>
        <w:gridCol w:w="499"/>
        <w:gridCol w:w="499"/>
        <w:gridCol w:w="333"/>
        <w:gridCol w:w="333"/>
        <w:gridCol w:w="666"/>
        <w:gridCol w:w="499"/>
        <w:gridCol w:w="499"/>
        <w:gridCol w:w="333"/>
        <w:gridCol w:w="333"/>
        <w:gridCol w:w="666"/>
        <w:gridCol w:w="833"/>
        <w:gridCol w:w="833"/>
        <w:gridCol w:w="166"/>
        <w:gridCol w:w="166"/>
        <w:gridCol w:w="166"/>
        <w:gridCol w:w="166"/>
        <w:gridCol w:w="667"/>
        <w:gridCol w:w="166"/>
        <w:gridCol w:w="270"/>
        <w:gridCol w:w="500"/>
        <w:gridCol w:w="191"/>
        <w:gridCol w:w="191"/>
        <w:gridCol w:w="192"/>
        <w:gridCol w:w="668"/>
        <w:gridCol w:w="334"/>
        <w:gridCol w:w="501"/>
        <w:gridCol w:w="835"/>
      </w:tblGrid>
      <w:tr>
        <w:trPr>
          <w:trHeight w:val="30" w:hRule="atLeast"/>
        </w:trPr>
        <w:tc>
          <w:tcPr>
            <w:tcW w:w="99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О-е напряжение, кВ</w:t>
            </w:r>
          </w:p>
        </w:tc>
        <w:tc>
          <w:tcPr>
            <w:tcW w:w="133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Тип опор на подходах ВЛ к РУ и подстанциям</w:t>
            </w:r>
          </w:p>
        </w:tc>
        <w:tc>
          <w:tcPr>
            <w:tcW w:w="99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Длина защищаемого тросом подхода ВЛ с повышенным защитным уровнем, км</w:t>
            </w:r>
          </w:p>
        </w:tc>
        <w:tc>
          <w:tcPr>
            <w:tcW w:w="0" w:type="auto"/>
            <w:gridSpan w:val="1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до силовых трансформаторов, м</w:t>
            </w:r>
          </w:p>
        </w:tc>
        <w:tc>
          <w:tcPr>
            <w:tcW w:w="0" w:type="auto"/>
            <w:gridSpan w:val="1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до остального оборудования,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Тупиковые РУ</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РУ с двумя постоянно включенными ВЛ</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РУ с тремя или более постоянно включенными ВЛ</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Тупиковые РУ</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РУ с двумя или более постоянно включенными ВЛ</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III группы</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 группы</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III группы</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 группы</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III группы</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 группы</w:t>
            </w:r>
          </w:p>
        </w:tc>
        <w:tc>
          <w:tcPr>
            <w:tcW w:w="0" w:type="auto"/>
            <w:gridSpan w:val="5"/>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III группы</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 группы</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III группы</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Разрядники II группы</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РВС</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РВС</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РВМГ</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РВМГ</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РВС</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РВС</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РВМГ</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РВМГ</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РВС</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РВС</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РВМГ</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РВМГ</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РВС</w:t>
            </w:r>
          </w:p>
        </w:tc>
        <w:tc>
          <w:tcPr>
            <w:tcW w:w="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РВС</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РВМГ</w:t>
            </w:r>
          </w:p>
        </w:tc>
        <w:tc>
          <w:tcPr>
            <w:tcW w:w="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РВМГ</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РВС</w:t>
            </w:r>
          </w:p>
        </w:tc>
        <w:tc>
          <w:tcPr>
            <w:tcW w:w="6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РВС</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х РВМГ</w:t>
            </w:r>
          </w:p>
        </w:tc>
        <w:tc>
          <w:tcPr>
            <w:tcW w:w="8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РВМГ</w:t>
            </w:r>
          </w:p>
        </w:tc>
      </w:tr>
      <w:tr>
        <w:trPr>
          <w:trHeight w:val="30" w:hRule="atLeast"/>
        </w:trPr>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3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6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w:t>
            </w:r>
          </w:p>
        </w:tc>
        <w:tc>
          <w:tcPr>
            <w:tcW w:w="8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r>
      <w:tr>
        <w:trPr>
          <w:trHeight w:val="30" w:hRule="atLeast"/>
        </w:trPr>
        <w:tc>
          <w:tcPr>
            <w:tcW w:w="99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3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 (в т.ч. деревянные с РТ в начале подхода)</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75</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p>
        </w:tc>
        <w:tc>
          <w:tcPr>
            <w:tcW w:w="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8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r>
        <w:trPr>
          <w:trHeight w:val="30" w:hRule="atLeast"/>
        </w:trPr>
        <w:tc>
          <w:tcPr>
            <w:tcW w:w="0" w:type="auto"/>
            <w:vMerge/>
            <w:tcBorders>
              <w:top w:val="nil"/>
              <w:left w:val="single" w:color="cfcfcf" w:sz="8"/>
              <w:bottom w:val="single" w:color="cfcfcf" w:sz="8"/>
              <w:right w:val="single" w:color="cfcfcf" w:sz="8"/>
            </w:tcBorders>
          </w:tcPr>
          <w:p/>
        </w:tc>
        <w:tc>
          <w:tcPr>
            <w:tcW w:w="13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(металлические и железобетонные)</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4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8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5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c>
          <w:tcPr>
            <w:tcW w:w="8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340"/>
    <w:bookmarkStart w:name="637606796" w:id="534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Продолжение таблицы 136</w:t>
      </w:r>
    </w:p>
    <w:bookmarkEnd w:id="5341"/>
    <w:bookmarkStart w:name="637606797" w:id="5342"/>
    <w:tbl>
      <w:tblPr>
        <w:tblW w:w="0" w:type="auto"/>
        <w:tblCellSpacing w:w="0" w:type="auto"/>
        <w:tblBorders>
          <w:top w:val="none"/>
          <w:left w:val="none"/>
          <w:bottom w:val="none"/>
          <w:right w:val="none"/>
          <w:insideH w:val="none"/>
          <w:insideV w:val="none"/>
        </w:tblBorders>
        <w:tblLayout/>
      </w:tblPr>
      <w:tblGrid>
        <w:gridCol w:w="1376"/>
        <w:gridCol w:w="974"/>
        <w:gridCol w:w="650"/>
        <w:gridCol w:w="650"/>
        <w:gridCol w:w="650"/>
        <w:gridCol w:w="650"/>
        <w:gridCol w:w="650"/>
        <w:gridCol w:w="650"/>
        <w:gridCol w:w="650"/>
        <w:gridCol w:w="650"/>
        <w:gridCol w:w="650"/>
        <w:gridCol w:w="650"/>
        <w:gridCol w:w="650"/>
        <w:gridCol w:w="650"/>
        <w:gridCol w:w="650"/>
        <w:gridCol w:w="650"/>
        <w:gridCol w:w="650"/>
        <w:gridCol w:w="650"/>
        <w:gridCol w:w="650"/>
        <w:gridCol w:w="650"/>
        <w:gridCol w:w="650"/>
        <w:gridCol w:w="650"/>
        <w:gridCol w:w="650"/>
      </w:tblGrid>
      <w:tr>
        <w:trPr>
          <w:trHeight w:val="30" w:hRule="atLeast"/>
        </w:trPr>
        <w:tc>
          <w:tcPr>
            <w:tcW w:w="13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r>
      <w:tr>
        <w:trPr>
          <w:trHeight w:val="30" w:hRule="atLeast"/>
        </w:trPr>
        <w:tc>
          <w:tcPr>
            <w:tcW w:w="137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 (в т.ч. деревянные с РТ в канале прохода)</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r>
      <w:tr>
        <w:trPr>
          <w:trHeight w:val="30" w:hRule="atLeast"/>
        </w:trPr>
        <w:tc>
          <w:tcPr>
            <w:tcW w:w="0" w:type="auto"/>
            <w:vMerge/>
            <w:tcBorders>
              <w:top w:val="nil"/>
              <w:left w:val="single" w:color="cfcfcf" w:sz="8"/>
              <w:bottom w:val="single" w:color="cfcfcf" w:sz="8"/>
              <w:right w:val="single" w:color="cfcfcf" w:sz="8"/>
            </w:tcBorders>
          </w:tcP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(металлические и железобетонные)</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r>
      <w:tr>
        <w:trPr>
          <w:trHeight w:val="30" w:hRule="atLeast"/>
        </w:trPr>
        <w:tc>
          <w:tcPr>
            <w:tcW w:w="137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110—220</w:t>
            </w:r>
          </w:p>
        </w:tc>
        <w:tc>
          <w:tcPr>
            <w:tcW w:w="97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r>
      <w:tr>
        <w:trPr>
          <w:trHeight w:val="30" w:hRule="atLeast"/>
        </w:trPr>
        <w:tc>
          <w:tcPr>
            <w:tcW w:w="0" w:type="auto"/>
            <w:vMerge/>
            <w:tcBorders>
              <w:top w:val="nil"/>
              <w:left w:val="single" w:color="cfcfcf" w:sz="8"/>
              <w:bottom w:val="single" w:color="cfcfcf" w:sz="8"/>
              <w:right w:val="single" w:color="cfcfcf" w:sz="8"/>
            </w:tcBorders>
          </w:tcPr>
          <w:p/>
        </w:tc>
        <w:tc>
          <w:tcPr>
            <w:tcW w:w="974"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(металлические и железобетонные)</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u w:val="single"/>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65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bl>
    <w:bookmarkEnd w:id="5342"/>
    <w:bookmarkStart w:name="637606798" w:id="5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343"/>
    <w:bookmarkStart w:name="637606799" w:id="5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 – 6 и более; 220 кВ – 4 и более.</w:t>
      </w:r>
    </w:p>
    <w:bookmarkEnd w:id="5344"/>
    <w:bookmarkStart w:name="637606800" w:id="5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Допустимые расстояния определяются до ближайшего вентильного разрядника.</w:t>
      </w:r>
    </w:p>
    <w:bookmarkEnd w:id="5345"/>
    <w:bookmarkStart w:name="637606801" w:id="5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Расстояния до силовых трансформаторов 150–220 кВ с уровнем изоляции по </w:t>
      </w:r>
      <w:hyperlink r:id="rId91">
        <w:r>
          <w:rPr>
            <w:rFonts w:hint="default" w:ascii="Times New Roman" w:hAnsi="Times New Roman"/>
            <w:b w:val="false"/>
            <w:i w:val="false"/>
            <w:color w:val="007fcc"/>
            <w:sz w:val="24"/>
            <w:u w:val="single"/>
          </w:rPr>
          <w:t>ГОСТ 1516.1-76</w:t>
        </w:r>
      </w:hyperlink>
      <w:r>
        <w:rPr>
          <w:rFonts w:hint="default" w:ascii="Times New Roman" w:hAnsi="Times New Roman"/>
          <w:b w:val="false"/>
          <w:i w:val="false"/>
          <w:color w:val="000000"/>
          <w:sz w:val="24"/>
        </w:rPr>
        <w:t>* указаны в числителе, повышенным уровнем изоляции по ГОСТ 1516-73 – в знаменателе.</w:t>
      </w:r>
    </w:p>
    <w:bookmarkEnd w:id="5346"/>
    <w:bookmarkStart w:name="637606802" w:id="5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При использовании разрядников I группы вместо разрядников II группы по ГОСТ 16357-70* расстояния до силовых трансформаторов 150–220 кВ с уровнем изоляции по ГОСТ 1516.1-76 * могут быть увеличены в 1,5 раза.</w:t>
      </w:r>
    </w:p>
    <w:bookmarkEnd w:id="5347"/>
    <w:bookmarkStart w:name="637606803" w:id="5348"/>
    <w:p>
      <w:pPr>
        <w:spacing w:before="120" w:after="120" w:line="240"/>
        <w:ind w:left="0"/>
        <w:jc w:val="both"/>
      </w:pPr>
      <w:r>
        <w:rPr>
          <w:rFonts w:hint="default" w:ascii="Times New Roman" w:hAnsi="Times New Roman"/>
          <w:b/>
          <w:i w:val="false"/>
          <w:color w:val="000000"/>
          <w:sz w:val="24"/>
        </w:rPr>
        <w:t>Наибольшее допустимое расстояние от вентильных разрядников до защищаемого оборудования напряжением 330 кВ</w:t>
      </w:r>
    </w:p>
    <w:bookmarkEnd w:id="5348"/>
    <w:bookmarkStart w:name="637606804" w:id="534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137</w:t>
      </w:r>
    </w:p>
    <w:bookmarkEnd w:id="5349"/>
    <w:bookmarkStart w:name="637606805" w:id="5350"/>
    <w:tbl>
      <w:tblPr>
        <w:tblW w:w="18660" w:type="auto"/>
        <w:tblCellSpacing w:w="0" w:type="auto"/>
        <w:tblBorders>
          <w:top w:val="none"/>
          <w:left w:val="none"/>
          <w:bottom w:val="none"/>
          <w:right w:val="none"/>
          <w:insideH w:val="none"/>
          <w:insideV w:val="none"/>
        </w:tblBorders>
        <w:tblLayout/>
      </w:tblPr>
      <w:tblGrid>
        <w:gridCol w:w="2317"/>
        <w:gridCol w:w="2312"/>
        <w:gridCol w:w="1706"/>
        <w:gridCol w:w="1442"/>
        <w:gridCol w:w="1723"/>
        <w:gridCol w:w="1476"/>
        <w:gridCol w:w="1757"/>
        <w:gridCol w:w="1476"/>
        <w:gridCol w:w="1791"/>
      </w:tblGrid>
      <w:tr>
        <w:trPr>
          <w:trHeight w:val="30" w:hRule="atLeast"/>
        </w:trPr>
        <w:tc>
          <w:tcPr>
            <w:tcW w:w="231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Схема подстанции, количество ВЛ</w:t>
            </w:r>
          </w:p>
        </w:tc>
        <w:tc>
          <w:tcPr>
            <w:tcW w:w="231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комплектов разрядников, тип, место установки</w:t>
            </w:r>
          </w:p>
        </w:tc>
        <w:tc>
          <w:tcPr>
            <w:tcW w:w="170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Длина защищенного подхода ВЛ с повышенным защитным уровнем, км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силовых трансформаторов (автотрансформаторов) и шунтирующих реакторов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трансформаторов напряжения</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остального электрооборудования</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 опоры</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опоры с двумя тросами</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 опоры</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опоры с двумя тросами</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Портальные опоры</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Одностоечные опоры с двумя тросами</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Тупиковая, по схеме блока трансформатор – линия</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Один комплект вентильных разрядников II группы у силового трансформатора</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7 590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1 15</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85</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один комплект – у силового трансформатора, второй – в линейной ячейке</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160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450**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Тупиковая, по схеме «объединенный блок»</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на трансформаторных присоединениях</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65</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355</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340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Проходная, с двумя ВЛ и одним трансформатором, по схеме «треугольник»</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Один комплект вентильных разрядников II группы у силового трансформатора</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150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410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425</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380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Проходная, с двумя ВЛ и двумя трансформаторами по схеме «мостик»</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у силовых трансформаторов</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130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60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475</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310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580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415</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Проходная, с двумя ВЛ и двумя трансформаторами по схеме «четырехугольник»</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у силовых трансформаторов</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240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750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470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секциями (системой) шин, с тремя ВЛ и двумя трансформаторами</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у силовых трансформаторов</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140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400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r>
      <w:tr>
        <w:trPr>
          <w:trHeight w:val="30" w:hRule="atLeast"/>
        </w:trPr>
        <w:tc>
          <w:tcPr>
            <w:tcW w:w="23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секциями (системой) шин, с тремя ВЛ и одним трансформатором</w:t>
            </w:r>
          </w:p>
        </w:tc>
        <w:tc>
          <w:tcPr>
            <w:tcW w:w="23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Один комплект вентильных разрядников II группы у силового трансформатора</w:t>
            </w:r>
          </w:p>
        </w:tc>
        <w:tc>
          <w:tcPr>
            <w:tcW w:w="170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3,0</w:t>
            </w:r>
          </w:p>
        </w:tc>
        <w:tc>
          <w:tcPr>
            <w:tcW w:w="14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175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250</w:t>
            </w:r>
          </w:p>
        </w:tc>
        <w:tc>
          <w:tcPr>
            <w:tcW w:w="172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820</w:t>
            </w:r>
          </w:p>
        </w:tc>
        <w:tc>
          <w:tcPr>
            <w:tcW w:w="17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p>
        </w:tc>
        <w:tc>
          <w:tcPr>
            <w:tcW w:w="147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c>
          <w:tcPr>
            <w:tcW w:w="17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1000</w:t>
            </w:r>
          </w:p>
        </w:tc>
      </w:tr>
    </w:tbl>
    <w:bookmarkEnd w:id="5350"/>
    <w:bookmarkStart w:name="637606806" w:id="53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При использовании разрядников I группы допустимые расстояния увеличиваются в 1,3 раза.</w:t>
      </w:r>
    </w:p>
    <w:bookmarkEnd w:id="5351"/>
    <w:bookmarkStart w:name="637606807" w:id="5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От разрядников, установленных у силовых трансформаторов.</w:t>
      </w:r>
    </w:p>
    <w:bookmarkEnd w:id="5352"/>
    <w:bookmarkStart w:name="637606808" w:id="5353"/>
    <w:p>
      <w:pPr>
        <w:spacing w:before="120" w:after="120" w:line="240"/>
        <w:ind w:left="0"/>
        <w:jc w:val="both"/>
      </w:pPr>
      <w:r>
        <w:rPr>
          <w:rFonts w:hint="default" w:ascii="Times New Roman" w:hAnsi="Times New Roman"/>
          <w:b/>
          <w:i w:val="false"/>
          <w:color w:val="000000"/>
          <w:sz w:val="24"/>
        </w:rPr>
        <w:t>Наибольшее допустимое расстояние от вентильных разрядников до защищаемого оборудования напряжением 500 кВ</w:t>
      </w:r>
    </w:p>
    <w:bookmarkEnd w:id="5353"/>
    <w:bookmarkStart w:name="637606809" w:id="535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138</w:t>
      </w:r>
    </w:p>
    <w:bookmarkEnd w:id="5354"/>
    <w:bookmarkStart w:name="637606810" w:id="5355"/>
    <w:tbl>
      <w:tblPr>
        <w:tblW w:w="18660" w:type="auto"/>
        <w:tblCellSpacing w:w="0" w:type="auto"/>
        <w:tblBorders>
          <w:top w:val="none"/>
          <w:left w:val="none"/>
          <w:bottom w:val="none"/>
          <w:right w:val="none"/>
          <w:insideH w:val="none"/>
          <w:insideV w:val="none"/>
        </w:tblBorders>
        <w:tblLayout/>
      </w:tblPr>
      <w:tblGrid>
        <w:gridCol w:w="3946"/>
        <w:gridCol w:w="6096"/>
        <w:gridCol w:w="2358"/>
        <w:gridCol w:w="1758"/>
        <w:gridCol w:w="1842"/>
      </w:tblGrid>
      <w:tr>
        <w:trPr>
          <w:trHeight w:val="30" w:hRule="atLeast"/>
        </w:trPr>
        <w:tc>
          <w:tcPr>
            <w:tcW w:w="394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Схема подстанции, количество ВЛ</w:t>
            </w:r>
          </w:p>
        </w:tc>
        <w:tc>
          <w:tcPr>
            <w:tcW w:w="609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Количество комплектов разрядников, тип, место установки</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силовых трансформаторов (автотрансформаторо3) и шунтирующих реакторов</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трансформаторов напряжения</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остального электрооборудования</w:t>
            </w:r>
          </w:p>
        </w:tc>
      </w:tr>
      <w:tr>
        <w:trPr>
          <w:trHeight w:val="30" w:hRule="atLeast"/>
        </w:trPr>
        <w:tc>
          <w:tcPr>
            <w:tcW w:w="3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Тупиковая, по схеме блока трансформатор– линия</w:t>
            </w:r>
          </w:p>
        </w:tc>
        <w:tc>
          <w:tcPr>
            <w:tcW w:w="60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00</w:t>
            </w:r>
          </w:p>
        </w:tc>
      </w:tr>
      <w:tr>
        <w:trPr>
          <w:trHeight w:val="30" w:hRule="atLeast"/>
        </w:trPr>
        <w:tc>
          <w:tcPr>
            <w:tcW w:w="3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Проходная, с двумя ВЛ и одним трансформатором по схеме «треугольник»</w:t>
            </w:r>
          </w:p>
        </w:tc>
        <w:tc>
          <w:tcPr>
            <w:tcW w:w="60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один комплект – у силового трансформатора, второй – на шинах, в линейной ячейке или на реакторном присоединении</w:t>
            </w: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700</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900</w:t>
            </w:r>
          </w:p>
        </w:tc>
      </w:tr>
      <w:tr>
        <w:trPr>
          <w:trHeight w:val="30" w:hRule="atLeast"/>
        </w:trPr>
        <w:tc>
          <w:tcPr>
            <w:tcW w:w="3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Проходная, с двумя ВЛ и двумя трансформаторами по схеме «четырехугольник»</w:t>
            </w:r>
          </w:p>
        </w:tc>
        <w:tc>
          <w:tcPr>
            <w:tcW w:w="60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Два комплекта вентильных разрядников II группы у силовых трансформаторов</w:t>
            </w: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r>
      <w:tr>
        <w:trPr>
          <w:trHeight w:val="30" w:hRule="atLeast"/>
        </w:trPr>
        <w:tc>
          <w:tcPr>
            <w:tcW w:w="3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секциями (системой) шин, с тремя ВЛ и двумя трансформаторами</w:t>
            </w:r>
          </w:p>
        </w:tc>
        <w:tc>
          <w:tcPr>
            <w:tcW w:w="60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r>
      <w:tr>
        <w:trPr>
          <w:trHeight w:val="30" w:hRule="atLeast"/>
        </w:trPr>
        <w:tc>
          <w:tcPr>
            <w:tcW w:w="394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секциями (системой) шин, с тремя ВЛ и одним трансформатором</w:t>
            </w:r>
          </w:p>
        </w:tc>
        <w:tc>
          <w:tcPr>
            <w:tcW w:w="609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Один комплект вентильных разрядников II группы у силового трансформатора</w:t>
            </w:r>
          </w:p>
        </w:tc>
        <w:tc>
          <w:tcPr>
            <w:tcW w:w="23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175</w:t>
            </w:r>
          </w:p>
        </w:tc>
        <w:tc>
          <w:tcPr>
            <w:tcW w:w="1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184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600</w:t>
            </w:r>
          </w:p>
        </w:tc>
      </w:tr>
    </w:tbl>
    <w:bookmarkEnd w:id="5355"/>
    <w:bookmarkStart w:name="637606811" w:id="5356"/>
    <w:p>
      <w:pPr>
        <w:spacing w:before="120" w:after="120" w:line="240"/>
        <w:ind w:left="0"/>
        <w:jc w:val="both"/>
      </w:pPr>
      <w:r>
        <w:rPr>
          <w:rFonts w:hint="default" w:ascii="Times New Roman" w:hAnsi="Times New Roman"/>
          <w:b w:val="false"/>
          <w:i/>
          <w:color w:val="000000"/>
          <w:sz w:val="24"/>
        </w:rPr>
        <w:t>Примечание.</w:t>
      </w:r>
      <w:r>
        <w:rPr>
          <w:rFonts w:hint="default" w:ascii="Times New Roman" w:hAnsi="Times New Roman"/>
          <w:b w:val="false"/>
          <w:i w:val="false"/>
          <w:color w:val="000000"/>
          <w:sz w:val="24"/>
        </w:rPr>
        <w:t xml:space="preserve"> При использовании вентильных разрядников I группы для защиты оборудования с изоляцией по ГОСТ 1516.1-76 *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p>
    <w:bookmarkEnd w:id="5356"/>
    <w:bookmarkStart w:name="637606812" w:id="5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установленного у силового трансформатора.</w:t>
      </w:r>
    </w:p>
    <w:bookmarkEnd w:id="5357"/>
    <w:bookmarkStart w:name="637606813" w:id="5358"/>
    <w:p>
      <w:pPr>
        <w:spacing w:before="120" w:after="120" w:line="240"/>
        <w:ind w:left="0"/>
        <w:jc w:val="both"/>
      </w:pPr>
      <w:r>
        <w:drawing>
          <wp:inline distT="0" distB="0" distL="0" distR="0">
            <wp:extent cx="5715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715000" cy="4114800"/>
                    </a:xfrm>
                    <a:prstGeom prst="rect">
                      <a:avLst/>
                    </a:prstGeom>
                  </pic:spPr>
                </pic:pic>
              </a:graphicData>
            </a:graphic>
          </wp:inline>
        </w:drawing>
      </w:r>
    </w:p>
    <w:bookmarkEnd w:id="5358"/>
    <w:bookmarkStart w:name="637606814" w:id="5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16. Схемы защиты от грозовых перенапряжений подстанций,</w:t>
      </w:r>
    </w:p>
    <w:bookmarkEnd w:id="5359"/>
    <w:bookmarkStart w:name="637606815" w:id="53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присоединенных к ВЛ ответвлениями длиной до 150 м и</w:t>
      </w:r>
    </w:p>
    <w:bookmarkEnd w:id="5360"/>
    <w:bookmarkStart w:name="637606816" w:id="5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более 150 м</w:t>
      </w:r>
    </w:p>
    <w:bookmarkEnd w:id="5361"/>
    <w:bookmarkStart w:name="637606817" w:id="5362"/>
    <w:p>
      <w:pPr>
        <w:spacing w:before="120" w:after="120" w:line="240"/>
        <w:ind w:left="0"/>
        <w:jc w:val="both"/>
      </w:pPr>
      <w:r>
        <w:drawing>
          <wp:inline distT="0" distB="0" distL="0" distR="0">
            <wp:extent cx="5715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715000" cy="3454400"/>
                    </a:xfrm>
                    <a:prstGeom prst="rect">
                      <a:avLst/>
                    </a:prstGeom>
                  </pic:spPr>
                </pic:pic>
              </a:graphicData>
            </a:graphic>
          </wp:inline>
        </w:drawing>
      </w:r>
    </w:p>
    <w:bookmarkEnd w:id="5362"/>
    <w:bookmarkStart w:name="637606818" w:id="5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17. Схемы защиты от грозовых перенапряжений подстанций,</w:t>
      </w:r>
    </w:p>
    <w:bookmarkEnd w:id="5363"/>
    <w:bookmarkStart w:name="637606819" w:id="5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присоединенных к ВЛ с помощью заходов длиной до 150 и</w:t>
      </w:r>
    </w:p>
    <w:bookmarkEnd w:id="5364"/>
    <w:bookmarkStart w:name="637606820" w:id="5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более 150 м</w:t>
      </w:r>
    </w:p>
    <w:bookmarkEnd w:id="5365"/>
    <w:bookmarkStart w:name="637606821" w:id="5366"/>
    <w:p>
      <w:pPr>
        <w:spacing w:before="120" w:after="120" w:line="240"/>
        <w:ind w:left="0"/>
        <w:jc w:val="both"/>
      </w:pPr>
      <w:r>
        <w:drawing>
          <wp:inline distT="0" distB="0" distL="0" distR="0">
            <wp:extent cx="5715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715000" cy="4013200"/>
                    </a:xfrm>
                    <a:prstGeom prst="rect">
                      <a:avLst/>
                    </a:prstGeom>
                  </pic:spPr>
                </pic:pic>
              </a:graphicData>
            </a:graphic>
          </wp:inline>
        </w:drawing>
      </w:r>
    </w:p>
    <w:bookmarkEnd w:id="5366"/>
    <w:bookmarkStart w:name="637606822" w:id="53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 18. Схемы защиты вращающихся машин от грозовых</w:t>
      </w:r>
    </w:p>
    <w:bookmarkEnd w:id="5367"/>
    <w:bookmarkStart w:name="637606823" w:id="5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перенапряжений</w:t>
      </w:r>
    </w:p>
    <w:bookmarkEnd w:id="5368"/>
    <w:bookmarkStart w:name="637606824" w:id="5369"/>
    <w:p>
      <w:pPr>
        <w:spacing w:before="120" w:after="120" w:line="240"/>
        <w:ind w:left="0"/>
        <w:jc w:val="both"/>
      </w:pPr>
      <w:r>
        <w:drawing>
          <wp:inline distT="0" distB="0" distL="0" distR="0">
            <wp:extent cx="57150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715000" cy="2781300"/>
                    </a:xfrm>
                    <a:prstGeom prst="rect">
                      <a:avLst/>
                    </a:prstGeom>
                  </pic:spPr>
                </pic:pic>
              </a:graphicData>
            </a:graphic>
          </wp:inline>
        </w:drawing>
      </w:r>
    </w:p>
    <w:bookmarkEnd w:id="5369"/>
    <w:bookmarkStart w:name="637606825" w:id="5370"/>
    <w:p>
      <w:pPr>
        <w:spacing w:before="120" w:after="120" w:line="240"/>
        <w:ind w:left="0" w:firstLine="500"/>
        <w:jc w:val="both"/>
      </w:pPr>
      <w:r>
        <w:rPr>
          <w:b w:val="false"/>
          <w:i w:val="false"/>
          <w:color w:val="000000"/>
          <w:sz w:val="24"/>
        </w:rPr>
        <w:t/>
      </w:r>
      <w:r>
        <w:rPr>
          <w:b w:val="false"/>
          <w:i w:val="false"/>
          <w:color w:val="000000"/>
          <w:sz w:val="24"/>
        </w:rPr>
        <w:t> </w:t>
      </w:r>
      <w:r>
        <w:br/>
      </w:r>
      <w:r>
        <w:rPr>
          <w:b w:val="false"/>
          <w:i w:val="false"/>
          <w:color w:val="000000"/>
          <w:sz w:val="24"/>
        </w:rPr>
        <w:t>
 Рис. 19. Схемы защиты электродвигателей мощностью до 3 МВт</w:t>
      </w:r>
    </w:p>
    <w:bookmarkEnd w:id="5370"/>
    <w:bookmarkStart w:name="637606826" w:id="5371"/>
    <w:p>
      <w:pPr>
        <w:spacing w:before="120" w:after="120" w:line="240"/>
        <w:ind w:left="0"/>
        <w:jc w:val="both"/>
      </w:pPr>
      <w:r>
        <w:rPr>
          <w:b/>
          <w:i w:val="false"/>
          <w:color w:val="000000"/>
          <w:sz w:val="24"/>
        </w:rPr>
        <w:t>при подходе ВЛ на деревянных опорах</w:t>
      </w:r>
      <w:r>
        <w:br/>
      </w:r>
      <w:r>
        <w:rPr>
          <w:b/>
          <w:i w:val="false"/>
          <w:color w:val="000000"/>
          <w:sz w:val="24"/>
        </w:rPr>
        <w:t>
 Наименьшие допустимые сечения кабелей и проводов электрических сетей в жилых зданиях</w:t>
      </w:r>
    </w:p>
    <w:bookmarkEnd w:id="5371"/>
    <w:bookmarkStart w:name="637606827" w:id="537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139</w:t>
      </w:r>
    </w:p>
    <w:bookmarkEnd w:id="5372"/>
    <w:bookmarkStart w:name="637606828" w:id="5373"/>
    <w:tbl>
      <w:tblPr>
        <w:tblW w:w="18660" w:type="auto"/>
        <w:tblCellSpacing w:w="0" w:type="auto"/>
        <w:tblBorders>
          <w:top w:val="none"/>
          <w:left w:val="none"/>
          <w:bottom w:val="none"/>
          <w:right w:val="none"/>
          <w:insideH w:val="none"/>
          <w:insideV w:val="none"/>
        </w:tblBorders>
        <w:tblLayout/>
      </w:tblPr>
      <w:tblGrid>
        <w:gridCol w:w="8462"/>
        <w:gridCol w:w="7538"/>
      </w:tblGrid>
      <w:tr>
        <w:trPr>
          <w:trHeight w:val="30" w:hRule="atLeast"/>
        </w:trPr>
        <w:tc>
          <w:tcPr>
            <w:tcW w:w="84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линий</w:t>
            </w:r>
          </w:p>
        </w:tc>
        <w:tc>
          <w:tcPr>
            <w:tcW w:w="75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Наименьшее сечение кабелей и проводов с медными жилами,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r>
      <w:tr>
        <w:trPr>
          <w:trHeight w:val="30" w:hRule="atLeast"/>
        </w:trPr>
        <w:tc>
          <w:tcPr>
            <w:tcW w:w="84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Линии групповых сетей</w:t>
            </w:r>
          </w:p>
        </w:tc>
        <w:tc>
          <w:tcPr>
            <w:tcW w:w="75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r>
        <w:trPr>
          <w:trHeight w:val="30" w:hRule="atLeast"/>
        </w:trPr>
        <w:tc>
          <w:tcPr>
            <w:tcW w:w="84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Линии от этажных до квартирных щитков и к расчетному счетчику</w:t>
            </w:r>
          </w:p>
        </w:tc>
        <w:tc>
          <w:tcPr>
            <w:tcW w:w="75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r>
      <w:tr>
        <w:trPr>
          <w:trHeight w:val="30" w:hRule="atLeast"/>
        </w:trPr>
        <w:tc>
          <w:tcPr>
            <w:tcW w:w="846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Линии распределительной сети (стояки) для питания квартир</w:t>
            </w:r>
          </w:p>
        </w:tc>
        <w:tc>
          <w:tcPr>
            <w:tcW w:w="753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r>
    </w:tbl>
    <w:bookmarkEnd w:id="5373"/>
    <w:bookmarkStart w:name="637606829" w:id="5374"/>
    <w:p>
      <w:pPr>
        <w:spacing w:before="120" w:after="120" w:line="240"/>
        <w:ind w:left="0"/>
        <w:jc w:val="both"/>
      </w:pPr>
      <w:r>
        <w:rPr>
          <w:rFonts w:hint="default" w:ascii="Times New Roman" w:hAnsi="Times New Roman"/>
          <w:b/>
          <w:i w:val="false"/>
          <w:color w:val="000000"/>
          <w:sz w:val="24"/>
        </w:rPr>
        <w:t>Категории электроприемников зрелищных предприятий по надежности электроснабжения</w:t>
      </w:r>
    </w:p>
    <w:bookmarkEnd w:id="5374"/>
    <w:bookmarkStart w:name="637606830" w:id="537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140</w:t>
      </w:r>
    </w:p>
    <w:bookmarkEnd w:id="5375"/>
    <w:bookmarkStart w:name="637606831" w:id="5376"/>
    <w:tbl>
      <w:tblPr>
        <w:tblW w:w="18660" w:type="auto"/>
        <w:tblCellSpacing w:w="0" w:type="auto"/>
        <w:tblBorders>
          <w:top w:val="none"/>
          <w:left w:val="none"/>
          <w:bottom w:val="none"/>
          <w:right w:val="none"/>
          <w:insideH w:val="none"/>
          <w:insideV w:val="none"/>
        </w:tblBorders>
        <w:tblLayout/>
      </w:tblPr>
      <w:tblGrid>
        <w:gridCol w:w="7710"/>
        <w:gridCol w:w="3724"/>
        <w:gridCol w:w="4566"/>
      </w:tblGrid>
      <w:tr>
        <w:trPr>
          <w:trHeight w:val="30" w:hRule="atLeast"/>
        </w:trPr>
        <w:tc>
          <w:tcPr>
            <w:tcW w:w="771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электроприемника</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Категория по надежности электроснабжения при суммарной вместимости зрительных залов, чел.</w:t>
            </w:r>
          </w:p>
        </w:tc>
      </w:tr>
      <w:tr>
        <w:trPr>
          <w:trHeight w:val="30" w:hRule="atLeast"/>
        </w:trPr>
        <w:tc>
          <w:tcPr>
            <w:tcW w:w="0" w:type="auto"/>
            <w:vMerge/>
            <w:tcBorders>
              <w:top w:val="nil"/>
              <w:left w:val="single" w:color="cfcfcf" w:sz="8"/>
              <w:bottom w:val="single" w:color="cfcfcf" w:sz="8"/>
              <w:right w:val="single" w:color="cfcfcf" w:sz="8"/>
            </w:tcBorders>
          </w:tcP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менее 800</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800</w:t>
            </w:r>
          </w:p>
        </w:tc>
      </w:tr>
      <w:tr>
        <w:trPr>
          <w:trHeight w:val="30" w:hRule="atLeast"/>
        </w:trPr>
        <w:tc>
          <w:tcPr>
            <w:tcW w:w="7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r>
      <w:tr>
        <w:trPr>
          <w:trHeight w:val="30" w:hRule="atLeast"/>
        </w:trPr>
        <w:tc>
          <w:tcPr>
            <w:tcW w:w="7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Электроприемники постановочного освещения</w:t>
            </w: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r>
      <w:tr>
        <w:trPr>
          <w:trHeight w:val="30" w:hRule="atLeast"/>
        </w:trPr>
        <w:tc>
          <w:tcPr>
            <w:tcW w:w="771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3. Электроприемники</w:t>
            </w:r>
          </w:p>
          <w:p>
            <w:pPr>
              <w:spacing w:after="0"/>
              <w:ind w:left="14"/>
              <w:jc w:val="left"/>
            </w:pPr>
            <w:r>
              <w:rPr>
                <w:rFonts w:hint="default" w:ascii="Times New Roman" w:hAnsi="Times New Roman"/>
                <w:b w:val="false"/>
                <w:i w:val="false"/>
                <w:color w:val="000000"/>
                <w:sz w:val="24"/>
              </w:rPr>
              <w:t>сценических механизмов</w:t>
            </w: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r>
      <w:tr>
        <w:trPr>
          <w:trHeight w:val="30" w:hRule="atLeast"/>
        </w:trPr>
        <w:tc>
          <w:tcPr>
            <w:tcW w:w="7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 Электроприемники технических аппаратных и систем звукофикации</w:t>
            </w: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r>
      <w:tr>
        <w:trPr>
          <w:trHeight w:val="30" w:hRule="atLeast"/>
        </w:trPr>
        <w:tc>
          <w:tcPr>
            <w:tcW w:w="77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 Остальные электроприемники, не указанные в пп. 1–4, а также комплексы электроприемников зданий с залами вместимостью 300 мест и менее</w:t>
            </w:r>
          </w:p>
        </w:tc>
        <w:tc>
          <w:tcPr>
            <w:tcW w:w="37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c>
          <w:tcPr>
            <w:tcW w:w="45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III</w:t>
            </w:r>
          </w:p>
        </w:tc>
      </w:tr>
    </w:tbl>
    <w:bookmarkEnd w:id="5376"/>
    <w:bookmarkStart w:name="637606832" w:id="5377"/>
    <w:p>
      <w:pPr>
        <w:spacing w:before="120" w:after="120" w:line="240"/>
        <w:ind w:left="0"/>
        <w:jc w:val="both"/>
      </w:pPr>
      <w:r>
        <w:rPr>
          <w:rFonts w:hint="default" w:ascii="Times New Roman" w:hAnsi="Times New Roman"/>
          <w:b/>
          <w:i w:val="false"/>
          <w:color w:val="000000"/>
          <w:sz w:val="24"/>
        </w:rPr>
        <w:t>Категории взрывоопасных смесей газов и паров с воздухом</w:t>
      </w:r>
    </w:p>
    <w:bookmarkEnd w:id="5377"/>
    <w:bookmarkStart w:name="637606833" w:id="537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141</w:t>
      </w:r>
    </w:p>
    <w:bookmarkEnd w:id="5378"/>
    <w:bookmarkStart w:name="637606834" w:id="5379"/>
    <w:tbl>
      <w:tblPr>
        <w:tblW w:w="18660" w:type="auto"/>
        <w:tblCellSpacing w:w="0" w:type="auto"/>
        <w:tblBorders>
          <w:top w:val="none"/>
          <w:left w:val="none"/>
          <w:bottom w:val="none"/>
          <w:right w:val="none"/>
          <w:insideH w:val="none"/>
          <w:insideV w:val="none"/>
        </w:tblBorders>
        <w:tblLayout/>
      </w:tblPr>
      <w:tblGrid>
        <w:gridCol w:w="5091"/>
        <w:gridCol w:w="5297"/>
        <w:gridCol w:w="5612"/>
      </w:tblGrid>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Категория смеси</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Наименование смеси</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БЭМЗ, мм</w:t>
            </w:r>
          </w:p>
        </w:tc>
      </w:tr>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Рудничный метан</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w:t>
            </w:r>
          </w:p>
        </w:tc>
      </w:tr>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Промышленные газы и пары</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Промышленные газы и пары</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0,9</w:t>
            </w:r>
          </w:p>
        </w:tc>
      </w:tr>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Промышленные газы и пары</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0,5 до 0,9</w:t>
            </w:r>
          </w:p>
        </w:tc>
      </w:tr>
      <w:tr>
        <w:trPr>
          <w:trHeight w:val="30" w:hRule="atLeast"/>
        </w:trPr>
        <w:tc>
          <w:tcPr>
            <w:tcW w:w="50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IIС</w:t>
            </w:r>
          </w:p>
        </w:tc>
        <w:tc>
          <w:tcPr>
            <w:tcW w:w="529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Промышленные газы и пары</w:t>
            </w:r>
          </w:p>
        </w:tc>
        <w:tc>
          <w:tcPr>
            <w:tcW w:w="56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0,5</w:t>
            </w:r>
          </w:p>
        </w:tc>
      </w:tr>
    </w:tbl>
    <w:bookmarkEnd w:id="5379"/>
    <w:bookmarkStart w:name="637606835" w:id="5380"/>
    <w:p>
      <w:pPr>
        <w:spacing w:before="120" w:after="120" w:line="240"/>
        <w:ind w:left="0"/>
        <w:jc w:val="both"/>
      </w:pPr>
      <w:r>
        <w:rPr>
          <w:rFonts w:hint="default" w:ascii="Times New Roman" w:hAnsi="Times New Roman"/>
          <w:b w:val="false"/>
          <w:i/>
          <w:color w:val="000000"/>
          <w:sz w:val="24"/>
        </w:rPr>
        <w:t>Примечание:</w:t>
      </w:r>
      <w:r>
        <w:rPr>
          <w:rFonts w:hint="default" w:ascii="Times New Roman" w:hAnsi="Times New Roman"/>
          <w:b w:val="false"/>
          <w:i w:val="false"/>
          <w:color w:val="000000"/>
          <w:sz w:val="24"/>
        </w:rPr>
        <w:t xml:space="preserve"> Указанные в таблице значения БЭМЗ не могут служить для контроля ширины зазора оболочки в эксплуатации.</w:t>
      </w:r>
    </w:p>
    <w:bookmarkEnd w:id="5380"/>
    <w:bookmarkStart w:name="637606836" w:id="5381"/>
    <w:p>
      <w:pPr>
        <w:spacing w:before="120" w:after="120" w:line="240"/>
        <w:ind w:left="0"/>
        <w:jc w:val="both"/>
      </w:pPr>
      <w:r>
        <w:rPr>
          <w:rFonts w:hint="default" w:ascii="Times New Roman" w:hAnsi="Times New Roman"/>
          <w:b/>
          <w:i w:val="false"/>
          <w:color w:val="000000"/>
          <w:sz w:val="24"/>
        </w:rPr>
        <w:t>Группы взрывоопасных смесей газов и паров с воздухом по температуре самовоспламенения</w:t>
      </w:r>
    </w:p>
    <w:bookmarkEnd w:id="5381"/>
    <w:bookmarkStart w:name="637606837" w:id="538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142</w:t>
      </w:r>
    </w:p>
    <w:bookmarkEnd w:id="5382"/>
    <w:bookmarkStart w:name="637606838" w:id="5383"/>
    <w:tbl>
      <w:tblPr>
        <w:tblW w:w="18660" w:type="auto"/>
        <w:tblCellSpacing w:w="0" w:type="auto"/>
        <w:tblBorders>
          <w:top w:val="none"/>
          <w:left w:val="none"/>
          <w:bottom w:val="none"/>
          <w:right w:val="none"/>
          <w:insideH w:val="none"/>
          <w:insideV w:val="none"/>
        </w:tblBorders>
        <w:tblLayout/>
      </w:tblPr>
      <w:tblGrid>
        <w:gridCol w:w="2745"/>
        <w:gridCol w:w="5002"/>
        <w:gridCol w:w="2763"/>
        <w:gridCol w:w="5490"/>
      </w:tblGrid>
      <w:tr>
        <w:trPr>
          <w:trHeight w:val="30" w:hRule="atLeast"/>
        </w:trPr>
        <w:tc>
          <w:tcPr>
            <w:tcW w:w="27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w:t>
            </w:r>
          </w:p>
        </w:tc>
        <w:tc>
          <w:tcPr>
            <w:tcW w:w="5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самовоспламенения смеси,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27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w:t>
            </w:r>
          </w:p>
        </w:tc>
        <w:tc>
          <w:tcPr>
            <w:tcW w:w="5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самовоспламенения смеси,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27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p>
        </w:tc>
        <w:tc>
          <w:tcPr>
            <w:tcW w:w="5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450</w:t>
            </w:r>
          </w:p>
        </w:tc>
        <w:tc>
          <w:tcPr>
            <w:tcW w:w="27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Т4</w:t>
            </w:r>
          </w:p>
        </w:tc>
        <w:tc>
          <w:tcPr>
            <w:tcW w:w="5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135 до 200</w:t>
            </w:r>
          </w:p>
        </w:tc>
      </w:tr>
      <w:tr>
        <w:trPr>
          <w:trHeight w:val="30" w:hRule="atLeast"/>
        </w:trPr>
        <w:tc>
          <w:tcPr>
            <w:tcW w:w="27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Т2</w:t>
            </w:r>
          </w:p>
        </w:tc>
        <w:tc>
          <w:tcPr>
            <w:tcW w:w="5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300 до 450</w:t>
            </w:r>
          </w:p>
        </w:tc>
        <w:tc>
          <w:tcPr>
            <w:tcW w:w="27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Т5</w:t>
            </w:r>
          </w:p>
        </w:tc>
        <w:tc>
          <w:tcPr>
            <w:tcW w:w="5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100 до 135</w:t>
            </w:r>
          </w:p>
        </w:tc>
      </w:tr>
      <w:tr>
        <w:trPr>
          <w:trHeight w:val="30" w:hRule="atLeast"/>
        </w:trPr>
        <w:tc>
          <w:tcPr>
            <w:tcW w:w="27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Т3</w:t>
            </w:r>
          </w:p>
        </w:tc>
        <w:tc>
          <w:tcPr>
            <w:tcW w:w="5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200 до 300</w:t>
            </w:r>
          </w:p>
        </w:tc>
        <w:tc>
          <w:tcPr>
            <w:tcW w:w="27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5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85 до 100</w:t>
            </w:r>
          </w:p>
        </w:tc>
      </w:tr>
    </w:tbl>
    <w:bookmarkEnd w:id="5383"/>
    <w:bookmarkStart w:name="637606839" w:id="5384"/>
    <w:p>
      <w:pPr>
        <w:spacing w:before="120" w:after="120" w:line="240"/>
        <w:ind w:left="0"/>
        <w:jc w:val="both"/>
      </w:pPr>
      <w:r>
        <w:rPr>
          <w:rFonts w:hint="default" w:ascii="Times New Roman" w:hAnsi="Times New Roman"/>
          <w:b/>
          <w:i w:val="false"/>
          <w:color w:val="000000"/>
          <w:sz w:val="24"/>
        </w:rPr>
        <w:t>Распределение взрывоопасных смесей по категориям и группам</w:t>
      </w:r>
    </w:p>
    <w:bookmarkEnd w:id="5384"/>
    <w:bookmarkStart w:name="637606840" w:id="538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143</w:t>
      </w:r>
    </w:p>
    <w:bookmarkEnd w:id="5385"/>
    <w:bookmarkStart w:name="637606841" w:id="5386"/>
    <w:tbl>
      <w:tblPr>
        <w:tblW w:w="18780" w:type="auto"/>
        <w:tblCellSpacing w:w="0" w:type="auto"/>
        <w:tblBorders>
          <w:top w:val="none"/>
          <w:left w:val="none"/>
          <w:bottom w:val="none"/>
          <w:right w:val="none"/>
          <w:insideH w:val="none"/>
          <w:insideV w:val="none"/>
        </w:tblBorders>
        <w:tblLayout/>
      </w:tblPr>
      <w:tblGrid>
        <w:gridCol w:w="2035"/>
        <w:gridCol w:w="1695"/>
        <w:gridCol w:w="12270"/>
      </w:tblGrid>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Категория смеси</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 смеси</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Вещества, образующие с воздухом взрывоопасную смесь</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Метан (рудничный)*</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Аммиак, аллил хлоридный, ацетон, ацетонитрил, бензол, 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w:t>
            </w: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55600" cy="406400"/>
                          </a:xfrm>
                          <a:prstGeom prst="rect">
                            <a:avLst/>
                          </a:prstGeom>
                        </pic:spPr>
                      </pic:pic>
                    </a:graphicData>
                  </a:graphic>
                </wp:inline>
              </w:drawing>
            </w:r>
            <w:r>
              <w:rPr>
                <w:rFonts w:hint="default" w:ascii="Times New Roman" w:hAnsi="Times New Roman"/>
                <w:b w:val="false"/>
                <w:i w:val="false"/>
                <w:color w:val="000000"/>
                <w:sz w:val="24"/>
              </w:rPr>
              <w:t xml:space="preserve"> -метил-стирол,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0"/>
              <w:jc w:val="left"/>
            </w:pP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Т2</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Т3</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Бензины: А-66, А-72, А-76, «галоша», Б-70, экстракционный по ТУ 38.101.303-72, экстракционный по МРТУ 12Н-20-63. Бутилметакрилат, гексан,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169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Т4</w:t>
            </w:r>
          </w:p>
          <w:p>
            <w:pPr>
              <w:spacing w:after="0"/>
              <w:ind w:left="14"/>
              <w:jc w:val="left"/>
            </w:pPr>
            <w:r>
              <w:rPr>
                <w:rFonts w:hint="default" w:ascii="Times New Roman" w:hAnsi="Times New Roman"/>
                <w:b w:val="false"/>
                <w:i w:val="false"/>
                <w:color w:val="000000"/>
                <w:sz w:val="24"/>
              </w:rPr>
              <w:t>Т5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Т6</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Ацетальдегид, альдегид изомасляный, альдегид масляный, альдегид пропионовый, декан, тетраметилдиаминометан, 1,1,3-триэтоксибутан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169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Т1</w:t>
            </w:r>
          </w:p>
          <w:p>
            <w:pPr>
              <w:spacing w:after="0"/>
              <w:ind w:left="14"/>
              <w:jc w:val="left"/>
            </w:pPr>
            <w:r>
              <w:rPr>
                <w:rFonts w:hint="default" w:ascii="Times New Roman" w:hAnsi="Times New Roman"/>
                <w:b w:val="false"/>
                <w:i w:val="false"/>
                <w:color w:val="000000"/>
                <w:sz w:val="24"/>
              </w:rPr>
              <w:t>Т2</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Коксовый газ, синильная кислота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Дивинил, 4,4-диметилдиоксан, диметилдихлорсилан, диоксан, диэтилдихлорсилан, камфорное масло, кислота акриловая, метилакрилат,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1695"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Т3</w:t>
            </w:r>
          </w:p>
          <w:p>
            <w:pPr>
              <w:spacing w:after="14"/>
              <w:ind w:left="14"/>
              <w:jc w:val="left"/>
            </w:pPr>
            <w:r>
              <w:rPr>
                <w:rFonts w:hint="default" w:ascii="Times New Roman" w:hAnsi="Times New Roman"/>
                <w:b w:val="false"/>
                <w:i w:val="false"/>
                <w:color w:val="000000"/>
                <w:sz w:val="24"/>
              </w:rPr>
              <w:t>Т4</w:t>
            </w:r>
          </w:p>
          <w:p>
            <w:pPr>
              <w:spacing w:after="0"/>
              <w:ind w:left="14"/>
              <w:jc w:val="left"/>
            </w:pPr>
            <w:r>
              <w:rPr>
                <w:rFonts w:hint="default" w:ascii="Times New Roman" w:hAnsi="Times New Roman"/>
                <w:b w:val="false"/>
                <w:i w:val="false"/>
                <w:color w:val="000000"/>
                <w:sz w:val="24"/>
              </w:rPr>
              <w:t>Т5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Т6</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Дибутиловый эфир, диэтиловый эфир, диэтиловый эфир этиленгликоля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r>
        <w:trPr>
          <w:trHeight w:val="30" w:hRule="atLeast"/>
        </w:trPr>
        <w:tc>
          <w:tcPr>
            <w:tcW w:w="203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IIС</w:t>
            </w:r>
          </w:p>
        </w:tc>
        <w:tc>
          <w:tcPr>
            <w:tcW w:w="16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Т2</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Т6</w:t>
            </w:r>
          </w:p>
        </w:tc>
        <w:tc>
          <w:tcPr>
            <w:tcW w:w="1227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Водород, водяной газ, светильный газ, водород 75 % + азот 25 %</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Ацетилен, метилдихлорсилан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Трихлорсилан</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Сероуглерод</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w:t>
            </w:r>
          </w:p>
        </w:tc>
      </w:tr>
    </w:tbl>
    <w:bookmarkEnd w:id="5386"/>
    <w:bookmarkStart w:name="637606842" w:id="5387"/>
    <w:p>
      <w:pPr>
        <w:spacing w:before="120" w:after="120" w:line="240"/>
        <w:ind w:left="0"/>
        <w:jc w:val="both"/>
      </w:pPr>
      <w:r>
        <w:rPr>
          <w:rFonts w:hint="default" w:ascii="Times New Roman" w:hAnsi="Times New Roman"/>
          <w:b w:val="false"/>
          <w:i w:val="false"/>
          <w:color w:val="000000"/>
          <w:sz w:val="24"/>
        </w:rPr>
        <w:t>* Под рудничным метаном следует понимать рудничный газ, в котором кроме метана содержание газообразных углеводородов – гомологов метана С</w:t>
      </w:r>
      <w:r>
        <w:rPr>
          <w:rFonts w:hint="default" w:ascii="Times New Roman" w:hAnsi="Times New Roman"/>
          <w:b w:val="false"/>
          <w:i w:val="false"/>
          <w:color w:val="000000"/>
          <w:vertAlign w:val="subscript"/>
        </w:rPr>
        <w:t>2</w:t>
      </w:r>
      <w:r>
        <w:rPr>
          <w:rFonts w:hint="default" w:ascii="Times New Roman" w:hAnsi="Times New Roman"/>
          <w:b w:val="false"/>
          <w:i w:val="false"/>
          <w:color w:val="000000"/>
          <w:sz w:val="24"/>
        </w:rPr>
        <w:t xml:space="preserve"> —С</w:t>
      </w:r>
      <w:r>
        <w:rPr>
          <w:rFonts w:hint="default" w:ascii="Times New Roman" w:hAnsi="Times New Roman"/>
          <w:b w:val="false"/>
          <w:i w:val="false"/>
          <w:color w:val="000000"/>
          <w:vertAlign w:val="subscript"/>
        </w:rPr>
        <w:t>5</w:t>
      </w:r>
      <w:r>
        <w:rPr>
          <w:rFonts w:hint="default" w:ascii="Times New Roman" w:hAnsi="Times New Roman"/>
          <w:b w:val="false"/>
          <w:i w:val="false"/>
          <w:color w:val="000000"/>
          <w:sz w:val="24"/>
        </w:rPr>
        <w:t xml:space="preserve"> – не более 0,1 объемной доли, а водорода в пробах газов из шпуров сразу после бурения – не более 0,002 объемной доли общего объема горючих газов.</w:t>
      </w:r>
    </w:p>
    <w:bookmarkEnd w:id="5387"/>
    <w:bookmarkStart w:name="637606843" w:id="5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В промышленном метане содержание водорода может составлять до 0,15 объемной доли.</w:t>
      </w:r>
    </w:p>
    <w:bookmarkEnd w:id="5388"/>
    <w:bookmarkStart w:name="637606844" w:id="5389"/>
    <w:p>
      <w:pPr>
        <w:spacing w:before="120" w:after="120" w:line="240"/>
        <w:ind w:left="0"/>
        <w:jc w:val="both"/>
      </w:pPr>
      <w:r>
        <w:rPr>
          <w:rFonts w:hint="default" w:ascii="Times New Roman" w:hAnsi="Times New Roman"/>
          <w:b/>
          <w:i w:val="false"/>
          <w:color w:val="000000"/>
          <w:sz w:val="24"/>
        </w:rPr>
        <w:t>Нижний концентрационный предел воспламенения, температуры</w:t>
      </w:r>
      <w:r>
        <w:br/>
      </w:r>
      <w:r>
        <w:rPr>
          <w:rFonts w:hint="default" w:ascii="Times New Roman" w:hAnsi="Times New Roman"/>
          <w:b/>
          <w:i w:val="false"/>
          <w:color w:val="000000"/>
          <w:sz w:val="24"/>
        </w:rPr>
        <w:t>
тления, воспламенения и самовоспламенения взрывоопасных пылей</w:t>
      </w:r>
    </w:p>
    <w:bookmarkEnd w:id="5389"/>
    <w:bookmarkStart w:name="637606845" w:id="539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144</w:t>
      </w:r>
    </w:p>
    <w:bookmarkEnd w:id="5390"/>
    <w:bookmarkStart w:name="637606846" w:id="5391"/>
    <w:tbl>
      <w:tblPr>
        <w:tblW w:w="18660" w:type="auto"/>
        <w:tblCellSpacing w:w="0" w:type="auto"/>
        <w:tblBorders>
          <w:top w:val="none"/>
          <w:left w:val="none"/>
          <w:bottom w:val="none"/>
          <w:right w:val="none"/>
          <w:insideH w:val="none"/>
          <w:insideV w:val="none"/>
        </w:tblBorders>
        <w:tblLayout/>
      </w:tblPr>
      <w:tblGrid>
        <w:gridCol w:w="2490"/>
        <w:gridCol w:w="1208"/>
        <w:gridCol w:w="847"/>
        <w:gridCol w:w="9524"/>
        <w:gridCol w:w="385"/>
        <w:gridCol w:w="737"/>
        <w:gridCol w:w="809"/>
      </w:tblGrid>
      <w:tr>
        <w:trPr>
          <w:trHeight w:val="30" w:hRule="atLeast"/>
        </w:trPr>
        <w:tc>
          <w:tcPr>
            <w:tcW w:w="249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Вещество</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Взвешенная пыль</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Осевшая пыль</w:t>
            </w:r>
          </w:p>
        </w:tc>
      </w:tr>
      <w:tr>
        <w:trPr>
          <w:trHeight w:val="30" w:hRule="atLeast"/>
        </w:trPr>
        <w:tc>
          <w:tcPr>
            <w:tcW w:w="0" w:type="auto"/>
            <w:vMerge/>
            <w:tcBorders>
              <w:top w:val="nil"/>
              <w:left w:val="single" w:color="cfcfcf" w:sz="8"/>
              <w:bottom w:val="single" w:color="cfcfcf" w:sz="8"/>
              <w:right w:val="single" w:color="cfcfcf" w:sz="8"/>
            </w:tcBorders>
          </w:tcP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Нижний концентрационный предел воспламенения, г/м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воспламенения,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тления,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воспламенения,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 самовоспламенения,</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Адипиновая кислота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Альтакс</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186</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Алюминий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Аминопеларгоновая кислота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Аминопласт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264</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559</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Аминоэнантовая кислота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195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4-Амилбензофенон-2-карбоновая кислота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23,4</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261</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422*</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Аммониевая соль 2,4-диоксибензолсульфокислоты</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Антрацен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217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Атразин технический, ТУ БУ-127-69</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30,4</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779</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170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Атразин товарный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 же</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487*</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Белок подсолнечный пищевой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193</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212</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Белок соевый пищевой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324</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Бис (трифторацетат) дибутилолова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50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577*</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Витамин 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15</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509</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Витамин РР из плодов шиповника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Гидрохинон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Мука гороховая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Декстрин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Диоксид дициклопентадиена, ТУ 6-05-241-49-73</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129</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394</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2,5-Диметилгексин-3-диол-2,5</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9,7</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121</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386*</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Мука древесная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Казеин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Какао</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245</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Камфора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Канифоль</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Кероген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0"/>
              <w:jc w:val="left"/>
            </w:pP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Крахмал картофельный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Крахмал кукурузный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Лигнин лиственных пород</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Лигнин хлопковый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Лигнин хвойных пород</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Малеат дибутилолова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649</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Малеиновый ангидрид</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53</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Метилтетрагидрофталевый ангидрид</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64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482*</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Микровит А кормовой, ТУ 64-5-116-74</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463</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Пыли мучные (пшеницы, ржи и других зерновых культур)</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20—63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Нафталин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Оксид дибутилолова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22,4</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154</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154</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523</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Оксид диоктилолова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155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448*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Полиакрилонитрил</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217</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Спирт поливиниловый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180—220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344*</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Полиизобутилалюмоксан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514</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Полипропилен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Ангидрид полисебациновый (отвердитель</w:t>
            </w:r>
          </w:p>
          <w:p>
            <w:pPr>
              <w:spacing w:after="0"/>
              <w:ind w:left="14"/>
              <w:jc w:val="left"/>
            </w:pPr>
            <w:r>
              <w:rPr>
                <w:rFonts w:hint="default" w:ascii="Times New Roman" w:hAnsi="Times New Roman"/>
                <w:b w:val="false"/>
                <w:i w:val="false"/>
                <w:color w:val="000000"/>
                <w:sz w:val="24"/>
              </w:rPr>
              <w:t>VII-607), МРТУ 6-09-6102-69</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19,7</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381*</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Полистирол</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Краска порошковая П-ЭП-177, п.518 ВТУ 3609-70, с дополнителем № 1, серый цвет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Краска порошковая П-ЭП-967, п. 884, ВТУ 3606-70, красно- коричневый цвет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848</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Краска порошковая ЭП-49-Д/2, ВТУ 605-1420-71, коричневый цвет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Краска порошковая ПВЛ-212, МПТУ 6-10-859-69, цвет слоновой кости</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241</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Краска порошковая П-ЭП-1130У, ВТУ НЧ № 6-37-72</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314</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Пропазин технический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Пропазин товарный, ТУ 6-01-171-67</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200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Мука пробковая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Пыль ленинск-кузнецкого каменного угля марки Д, шахта имени Ярославского</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149</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159</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Пыль промышленная резиновая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Пыль промышленная целлолигнина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27,7</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Пыль сланцевая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Сакап (полимер акриловой кислоты, ТУ 6-02-2-406-75)</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47,7</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292</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448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Сахар свекловичный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Сера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119</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Симазин технический, ТУ БУ-104-68</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220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224</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472*</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Симазин товарный, МРТУ 6-01-419-69</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225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476*</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Смола 113-61 (тиоэстанат диоктилолов1)</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68</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261</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389*</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Соль АГ</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Сополимер акрилонитрила с метилметакрила-том</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обугливается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214</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Стабилизатор 212-05</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57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207</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362*</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Стекло органическое</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579</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125</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Сульфадимезин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Титан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Тиооксиэтилен дибутилолова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Трифенилтриметилциклотрисилоксан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23,4</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238</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522*</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Триэтилендиамин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сублимируется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317*</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Уротропин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Смола фенольная</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80-90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Фенопласт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491</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227</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Ферроцен, бис (циклопентадиенил)-железо</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Фталевый ангидрид</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130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Циклопентадиенилтрикарбонилмарганец</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Цикорий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Эбонит</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спекается</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Смола эпоксидная Э-49, ТУ 6-05-1420-71</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17,2</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486</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Композиция эпоксидная ЭП-49СП, ТУ 6-05-241-98-75</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Композиция эпоксидная УП-2196</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22,3</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223</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358</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Пыль эпоксидная (отходы при обработке эпоксидных компаундо3)</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198</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494</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Композиция эпоксидная УП-2155, ТУ 6-05-241-26-72</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311</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Композиция эпоксидная УП-2111, ТУ 6-05-241-11-71</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465</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2-Этилантрахинон</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плавится при 107</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207</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574*</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Этилсилсексвиоксан (П1Э)</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64,1</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223</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223</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Этилцеллюлоза</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тлеет, разлагается при 240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24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Чай</w:t>
            </w:r>
          </w:p>
        </w:tc>
        <w:tc>
          <w:tcPr>
            <w:tcW w:w="12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32,8</w:t>
            </w:r>
          </w:p>
        </w:tc>
        <w:tc>
          <w:tcPr>
            <w:tcW w:w="84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7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80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bl>
    <w:bookmarkEnd w:id="5391"/>
    <w:bookmarkStart w:name="637606847" w:id="5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Температура самовоспламенения расплавленного вещества.</w:t>
      </w:r>
    </w:p>
    <w:bookmarkEnd w:id="5392"/>
    <w:bookmarkStart w:name="637606848" w:id="5393"/>
    <w:p>
      <w:pPr>
        <w:spacing w:before="120" w:after="120" w:line="240"/>
        <w:ind w:left="0"/>
        <w:jc w:val="both"/>
      </w:pPr>
      <w:r>
        <w:rPr>
          <w:rFonts w:hint="default" w:ascii="Times New Roman" w:hAnsi="Times New Roman"/>
          <w:b/>
          <w:i w:val="false"/>
          <w:color w:val="000000"/>
          <w:sz w:val="24"/>
        </w:rPr>
        <w:t>Группы взрывозащищенного электрооборудования по области его применения</w:t>
      </w:r>
    </w:p>
    <w:bookmarkEnd w:id="5393"/>
    <w:bookmarkStart w:name="637606849" w:id="539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145</w:t>
      </w:r>
    </w:p>
    <w:bookmarkEnd w:id="5394"/>
    <w:bookmarkStart w:name="637606850" w:id="5395"/>
    <w:tbl>
      <w:tblPr>
        <w:tblW w:w="18660" w:type="auto"/>
        <w:tblCellSpacing w:w="0" w:type="auto"/>
        <w:tblBorders>
          <w:top w:val="none"/>
          <w:left w:val="none"/>
          <w:bottom w:val="none"/>
          <w:right w:val="none"/>
          <w:insideH w:val="none"/>
          <w:insideV w:val="none"/>
        </w:tblBorders>
        <w:tblLayout/>
      </w:tblPr>
      <w:tblGrid>
        <w:gridCol w:w="12936"/>
        <w:gridCol w:w="3064"/>
      </w:tblGrid>
      <w:tr>
        <w:trPr>
          <w:trHeight w:val="30" w:hRule="atLeast"/>
        </w:trPr>
        <w:tc>
          <w:tcPr>
            <w:tcW w:w="129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Электрооборудование</w:t>
            </w:r>
          </w:p>
        </w:tc>
        <w:tc>
          <w:tcPr>
            <w:tcW w:w="30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 группы</w:t>
            </w:r>
          </w:p>
        </w:tc>
      </w:tr>
      <w:tr>
        <w:trPr>
          <w:trHeight w:val="30" w:hRule="atLeast"/>
        </w:trPr>
        <w:tc>
          <w:tcPr>
            <w:tcW w:w="129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Рудничное, предназначенное для подземных выработок шахт и рудников</w:t>
            </w:r>
          </w:p>
        </w:tc>
        <w:tc>
          <w:tcPr>
            <w:tcW w:w="30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w:t>
            </w:r>
          </w:p>
        </w:tc>
      </w:tr>
      <w:tr>
        <w:trPr>
          <w:trHeight w:val="30" w:hRule="atLeast"/>
        </w:trPr>
        <w:tc>
          <w:tcPr>
            <w:tcW w:w="129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Для внутренней и наружной установки (кроме рудничного)</w:t>
            </w:r>
          </w:p>
        </w:tc>
        <w:tc>
          <w:tcPr>
            <w:tcW w:w="306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r>
    </w:tbl>
    <w:bookmarkEnd w:id="5395"/>
    <w:bookmarkStart w:name="637606851" w:id="5396"/>
    <w:p>
      <w:pPr>
        <w:spacing w:before="120" w:after="120" w:line="240"/>
        <w:ind w:left="0"/>
        <w:jc w:val="both"/>
      </w:pPr>
      <w:r>
        <w:rPr>
          <w:rFonts w:hint="default" w:ascii="Times New Roman" w:hAnsi="Times New Roman"/>
          <w:b/>
          <w:i w:val="false"/>
          <w:color w:val="000000"/>
          <w:sz w:val="24"/>
        </w:rPr>
        <w:t>Подгруппы электрооборудования группы II с видами взрывозащиты «взрывонепроницаемая оболочка» и (или) «искробезопасная электрическая цепь»</w:t>
      </w:r>
    </w:p>
    <w:bookmarkEnd w:id="5396"/>
    <w:bookmarkStart w:name="637606852" w:id="539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146</w:t>
      </w:r>
    </w:p>
    <w:bookmarkEnd w:id="5397"/>
    <w:bookmarkStart w:name="637606853" w:id="5398"/>
    <w:tbl>
      <w:tblPr>
        <w:tblW w:w="18660" w:type="auto"/>
        <w:tblCellSpacing w:w="0" w:type="auto"/>
        <w:tblBorders>
          <w:top w:val="none"/>
          <w:left w:val="none"/>
          <w:bottom w:val="none"/>
          <w:right w:val="none"/>
          <w:insideH w:val="none"/>
          <w:insideV w:val="none"/>
        </w:tblBorders>
        <w:tblLayout/>
      </w:tblPr>
      <w:tblGrid>
        <w:gridCol w:w="4143"/>
        <w:gridCol w:w="5125"/>
        <w:gridCol w:w="6732"/>
      </w:tblGrid>
      <w:tr>
        <w:trPr>
          <w:trHeight w:val="30" w:hRule="atLeast"/>
        </w:trPr>
        <w:tc>
          <w:tcPr>
            <w:tcW w:w="41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 группы электрооборудования</w:t>
            </w:r>
          </w:p>
        </w:tc>
        <w:tc>
          <w:tcPr>
            <w:tcW w:w="5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 подгруппы электрооборудования</w:t>
            </w:r>
          </w:p>
        </w:tc>
        <w:tc>
          <w:tcPr>
            <w:tcW w:w="67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Категория взрывоопасной смеси, для которой электрооборудование является взрывозащищенным</w:t>
            </w:r>
          </w:p>
        </w:tc>
      </w:tr>
      <w:tr>
        <w:trPr>
          <w:trHeight w:val="30" w:hRule="atLeast"/>
        </w:trPr>
        <w:tc>
          <w:tcPr>
            <w:tcW w:w="414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5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IIС</w:t>
            </w:r>
          </w:p>
        </w:tc>
        <w:tc>
          <w:tcPr>
            <w:tcW w:w="673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 IIВ и IIС</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IIА и IIВ</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IIА, IIВ и IIС</w:t>
            </w:r>
          </w:p>
        </w:tc>
      </w:tr>
    </w:tbl>
    <w:bookmarkEnd w:id="5398"/>
    <w:bookmarkStart w:name="637606854" w:id="5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Знак применяется для электрооборудования, не подразделяющегося на подгруппы.</w:t>
      </w:r>
    </w:p>
    <w:bookmarkEnd w:id="5399"/>
    <w:bookmarkStart w:name="637606855" w:id="5400"/>
    <w:p>
      <w:pPr>
        <w:spacing w:before="120" w:after="120" w:line="240"/>
        <w:ind w:left="0"/>
        <w:jc w:val="both"/>
      </w:pPr>
      <w:r>
        <w:rPr>
          <w:rFonts w:hint="default" w:ascii="Times New Roman" w:hAnsi="Times New Roman"/>
          <w:b/>
          <w:i w:val="false"/>
          <w:color w:val="000000"/>
          <w:sz w:val="24"/>
        </w:rPr>
        <w:t>Температурные классы электрооборудования группы II</w:t>
      </w:r>
    </w:p>
    <w:bookmarkEnd w:id="5400"/>
    <w:bookmarkStart w:name="637606856" w:id="540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147</w:t>
      </w:r>
    </w:p>
    <w:bookmarkEnd w:id="5401"/>
    <w:bookmarkStart w:name="637606857" w:id="5402"/>
    <w:tbl>
      <w:tblPr>
        <w:tblW w:w="18660" w:type="auto"/>
        <w:tblCellSpacing w:w="0" w:type="auto"/>
        <w:tblBorders>
          <w:top w:val="none"/>
          <w:left w:val="none"/>
          <w:bottom w:val="none"/>
          <w:right w:val="none"/>
          <w:insideH w:val="none"/>
          <w:insideV w:val="none"/>
        </w:tblBorders>
        <w:tblLayout/>
      </w:tblPr>
      <w:tblGrid>
        <w:gridCol w:w="4407"/>
        <w:gridCol w:w="4712"/>
        <w:gridCol w:w="6881"/>
      </w:tblGrid>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Знак температурного класса электрооборудования</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Предельная температура, оС</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 взрывоопасной смеси, для которой электрооборудование является взрывозащищенным</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Т2</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 Т2</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Т3</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Т1—Т3</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Т4</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Т1—Т4</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Т5</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Т1—Т5</w:t>
            </w:r>
          </w:p>
        </w:tc>
      </w:tr>
      <w:tr>
        <w:trPr>
          <w:trHeight w:val="30" w:hRule="atLeast"/>
        </w:trPr>
        <w:tc>
          <w:tcPr>
            <w:tcW w:w="440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47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c>
          <w:tcPr>
            <w:tcW w:w="688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Т1—Т6</w:t>
            </w:r>
          </w:p>
        </w:tc>
      </w:tr>
    </w:tbl>
    <w:bookmarkEnd w:id="5402"/>
    <w:bookmarkStart w:name="637606858" w:id="5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w:t>
      </w:r>
    </w:p>
    <w:bookmarkEnd w:id="5403"/>
    <w:bookmarkStart w:name="637606859" w:id="5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Объемы взрывоопасных газо- и паровоздушной смесей, а также время образования паровоздушной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установленном порядке.</w:t>
      </w:r>
    </w:p>
    <w:bookmarkEnd w:id="5404"/>
    <w:bookmarkStart w:name="637606860" w:id="5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 помещениях с производствами категорий А, Б и Е электрооборудование должно удовлетворять требованиям гл. 32 к электроустановкам во взрывоопасных зонах соответствующих классов.</w:t>
      </w:r>
    </w:p>
    <w:bookmarkEnd w:id="5405"/>
    <w:bookmarkStart w:name="637606861" w:id="5406"/>
    <w:p>
      <w:pPr>
        <w:spacing w:before="120" w:after="120" w:line="240"/>
        <w:ind w:left="0"/>
        <w:jc w:val="both"/>
      </w:pPr>
      <w:r>
        <w:rPr>
          <w:rFonts w:hint="default" w:ascii="Times New Roman" w:hAnsi="Times New Roman"/>
          <w:b/>
          <w:i w:val="false"/>
          <w:color w:val="000000"/>
          <w:sz w:val="24"/>
        </w:rPr>
        <w:t>Примеры маркировки взрывозащищенного электрооборудования</w:t>
      </w:r>
    </w:p>
    <w:bookmarkEnd w:id="5406"/>
    <w:bookmarkStart w:name="637606862" w:id="540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148</w:t>
      </w:r>
    </w:p>
    <w:bookmarkEnd w:id="5407"/>
    <w:bookmarkStart w:name="637606863" w:id="5408"/>
    <w:tbl>
      <w:tblPr>
        <w:tblW w:w="0" w:type="auto"/>
        <w:tblCellSpacing w:w="0" w:type="auto"/>
        <w:tblBorders>
          <w:top w:val="none"/>
          <w:left w:val="none"/>
          <w:bottom w:val="none"/>
          <w:right w:val="none"/>
          <w:insideH w:val="none"/>
          <w:insideV w:val="none"/>
        </w:tblBorders>
        <w:tblLayout/>
      </w:tblPr>
      <w:tblGrid>
        <w:gridCol w:w="4480"/>
        <w:gridCol w:w="4800"/>
        <w:gridCol w:w="1920"/>
        <w:gridCol w:w="2400"/>
        <w:gridCol w:w="2400"/>
      </w:tblGrid>
      <w:tr>
        <w:trPr>
          <w:trHeight w:val="30" w:hRule="atLeast"/>
        </w:trPr>
        <w:tc>
          <w:tcPr>
            <w:tcW w:w="44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Уровень взрывозащиты</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взрывозащиты</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Группа (подгруппа)</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Температурный класс</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Маркировка по взрывозащите</w:t>
            </w:r>
          </w:p>
        </w:tc>
      </w:tr>
      <w:tr>
        <w:trPr>
          <w:trHeight w:val="30" w:hRule="atLeast"/>
        </w:trPr>
        <w:tc>
          <w:tcPr>
            <w:tcW w:w="448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Электрооборудование повышенной надежности против взрыва</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Защита вида “е”</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2ЕхеIIТ6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Защита вида “е” и взрывонепроницаемая оболочка</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Т3</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2ЕхеdIIВТ3</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Искробезопасная электрическая цепь</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IIС</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2ЕхiIIСТ6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Продувка оболочки под избыточным давлением</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2ЕхрIIТ6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Взрывонепроницаемая оболочка и искробезопасная электрическая цепь</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Т5</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2ЕхdiIIВТ5</w:t>
            </w:r>
          </w:p>
        </w:tc>
      </w:tr>
      <w:tr>
        <w:trPr>
          <w:trHeight w:val="30" w:hRule="atLeast"/>
        </w:trPr>
        <w:tc>
          <w:tcPr>
            <w:tcW w:w="448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электрооборудование</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Взрывонепроницаемая оболочка</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Т3</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1ЕхdIIАТ3</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Искробезопасная электрическая цепь</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IIС</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1ЕхiIIСТ5</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Заполнение оболочки под избыточным давлением</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1ЕхрIIТ6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Защита вида “е”</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ЕхеIIТ6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Кварцевое заполнение оболочки</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1ЕхqIIТ6</w:t>
            </w:r>
          </w:p>
        </w:tc>
      </w:tr>
      <w:tr>
        <w:trPr>
          <w:trHeight w:val="30" w:hRule="atLeast"/>
        </w:trPr>
        <w:tc>
          <w:tcPr>
            <w:tcW w:w="44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480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Специальный</w:t>
            </w:r>
          </w:p>
          <w:p>
            <w:pPr>
              <w:spacing w:after="0"/>
              <w:ind w:left="14"/>
              <w:jc w:val="left"/>
            </w:pPr>
            <w:r>
              <w:rPr>
                <w:rFonts w:hint="default" w:ascii="Times New Roman" w:hAnsi="Times New Roman"/>
                <w:b w:val="false"/>
                <w:i w:val="false"/>
                <w:color w:val="000000"/>
                <w:sz w:val="24"/>
              </w:rPr>
              <w:t>Специальный и взрывонепроницаемая оболочка</w:t>
            </w:r>
          </w:p>
        </w:tc>
        <w:tc>
          <w:tcPr>
            <w:tcW w:w="192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II</w:t>
            </w:r>
          </w:p>
          <w:p>
            <w:pPr>
              <w:spacing w:after="0"/>
              <w:ind w:left="14"/>
              <w:jc w:val="left"/>
            </w:pPr>
            <w:r>
              <w:rPr>
                <w:rFonts w:hint="default" w:ascii="Times New Roman" w:hAnsi="Times New Roman"/>
                <w:b w:val="false"/>
                <w:i w:val="false"/>
                <w:color w:val="000000"/>
                <w:sz w:val="24"/>
              </w:rPr>
              <w:t>IIА</w:t>
            </w:r>
          </w:p>
        </w:tc>
        <w:tc>
          <w:tcPr>
            <w:tcW w:w="240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Т6</w:t>
            </w:r>
          </w:p>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1ЕхsIIТ6</w:t>
            </w:r>
          </w:p>
          <w:p>
            <w:pPr>
              <w:spacing w:after="0"/>
              <w:ind w:left="14"/>
              <w:jc w:val="left"/>
            </w:pPr>
            <w:r>
              <w:rPr>
                <w:rFonts w:hint="default" w:ascii="Times New Roman" w:hAnsi="Times New Roman"/>
                <w:b w:val="false"/>
                <w:i w:val="false"/>
                <w:color w:val="000000"/>
                <w:sz w:val="24"/>
              </w:rPr>
              <w:t>1ЕхsdIIАТ6</w:t>
            </w:r>
          </w:p>
        </w:tc>
      </w:tr>
      <w:tr>
        <w:trPr>
          <w:trHeight w:val="30" w:hRule="atLeast"/>
        </w:trPr>
        <w:tc>
          <w:tcPr>
            <w:tcW w:w="44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Специальный, искробезопасная электрическая цепь и взрывонепроницаемая оболочка</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IIВ</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Т4</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1ЕхsidIIВТ4</w:t>
            </w:r>
          </w:p>
        </w:tc>
      </w:tr>
      <w:tr>
        <w:trPr>
          <w:trHeight w:val="30" w:hRule="atLeast"/>
        </w:trPr>
        <w:tc>
          <w:tcPr>
            <w:tcW w:w="4480" w:type="dxa"/>
            <w:tcBorders>
              <w:top w:val="single" w:color="cfcfcf" w:sz="8"/>
              <w:left w:val="single" w:color="cfcfcf" w:sz="8"/>
              <w:bottom w:val="single" w:color="cfcfcf" w:sz="8"/>
              <w:right w:val="single" w:color="cfcfcf" w:sz="8"/>
            </w:tcBorders>
            <w:vAlign w:val="center"/>
          </w:tcPr>
          <w:p>
            <w:pPr>
              <w:spacing w:after="0"/>
              <w:ind w:left="0"/>
              <w:jc w:val="left"/>
            </w:pPr>
          </w:p>
        </w:tc>
        <w:tc>
          <w:tcPr>
            <w:tcW w:w="4800" w:type="dxa"/>
            <w:tcBorders>
              <w:top w:val="single" w:color="cfcfcf" w:sz="8"/>
              <w:left w:val="single" w:color="cfcfcf" w:sz="8"/>
              <w:bottom w:val="single" w:color="cfcfcf" w:sz="8"/>
              <w:right w:val="single" w:color="cfcfcf" w:sz="8"/>
            </w:tcBorders>
            <w:vAlign w:val="center"/>
          </w:tcPr>
          <w:p>
            <w:pPr>
              <w:spacing w:after="0"/>
              <w:ind w:left="0"/>
              <w:jc w:val="left"/>
            </w:pPr>
          </w:p>
        </w:tc>
        <w:tc>
          <w:tcPr>
            <w:tcW w:w="1920" w:type="dxa"/>
            <w:tcBorders>
              <w:top w:val="single" w:color="cfcfcf" w:sz="8"/>
              <w:left w:val="single" w:color="cfcfcf" w:sz="8"/>
              <w:bottom w:val="single" w:color="cfcfcf" w:sz="8"/>
              <w:right w:val="single" w:color="cfcfcf" w:sz="8"/>
            </w:tcBorders>
            <w:vAlign w:val="center"/>
          </w:tcPr>
          <w:p>
            <w:pPr>
              <w:spacing w:after="0"/>
              <w:ind w:left="0"/>
              <w:jc w:val="left"/>
            </w:pPr>
          </w:p>
        </w:tc>
        <w:tc>
          <w:tcPr>
            <w:tcW w:w="2400" w:type="dxa"/>
            <w:tcBorders>
              <w:top w:val="single" w:color="cfcfcf" w:sz="8"/>
              <w:left w:val="single" w:color="cfcfcf" w:sz="8"/>
              <w:bottom w:val="single" w:color="cfcfcf" w:sz="8"/>
              <w:right w:val="single" w:color="cfcfcf" w:sz="8"/>
            </w:tcBorders>
            <w:vAlign w:val="center"/>
          </w:tcPr>
          <w:p>
            <w:pPr>
              <w:spacing w:after="0"/>
              <w:ind w:left="0"/>
              <w:jc w:val="left"/>
            </w:pPr>
          </w:p>
        </w:tc>
        <w:tc>
          <w:tcPr>
            <w:tcW w:w="2400"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448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Особовзрывобезопасное электрообрудование</w:t>
            </w: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Искробезопасная электрическая цепь</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IIC</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Т6</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0ЕхiIIСТ6</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Искробезопасная электрическая цепь и взрывонепроницаемая оболочка</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IIА</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Т4</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0ЕхidIIАТ4</w:t>
            </w:r>
          </w:p>
        </w:tc>
      </w:tr>
      <w:tr>
        <w:trPr>
          <w:trHeight w:val="30" w:hRule="atLeast"/>
        </w:trPr>
        <w:tc>
          <w:tcPr>
            <w:tcW w:w="0" w:type="auto"/>
            <w:vMerge/>
            <w:tcBorders>
              <w:top w:val="nil"/>
              <w:left w:val="single" w:color="cfcfcf" w:sz="8"/>
              <w:bottom w:val="single" w:color="cfcfcf" w:sz="8"/>
              <w:right w:val="single" w:color="cfcfcf" w:sz="8"/>
            </w:tcBorders>
          </w:tcPr>
          <w:p/>
        </w:tc>
        <w:tc>
          <w:tcPr>
            <w:tcW w:w="48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Специальный и искробезопасная электрическая цепь</w:t>
            </w:r>
          </w:p>
        </w:tc>
        <w:tc>
          <w:tcPr>
            <w:tcW w:w="192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IIС</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Т4</w:t>
            </w:r>
          </w:p>
        </w:tc>
        <w:tc>
          <w:tcPr>
            <w:tcW w:w="24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0ЕхsiIIСТ4</w:t>
            </w:r>
          </w:p>
        </w:tc>
      </w:tr>
    </w:tbl>
    <w:bookmarkEnd w:id="5408"/>
    <w:bookmarkStart w:name="637606864" w:id="5409"/>
    <w:p>
      <w:pPr>
        <w:spacing w:before="120" w:after="120" w:line="240"/>
        <w:ind w:left="0"/>
        <w:jc w:val="both"/>
      </w:pPr>
      <w:r>
        <w:rPr>
          <w:rFonts w:hint="default" w:ascii="Times New Roman" w:hAnsi="Times New Roman"/>
          <w:b/>
          <w:i w:val="false"/>
          <w:color w:val="000000"/>
          <w:sz w:val="24"/>
        </w:rPr>
        <w:t>Класс зоны помещения, смежного со взрывоопасной зоной другого помещения</w:t>
      </w:r>
    </w:p>
    <w:bookmarkEnd w:id="5409"/>
    <w:bookmarkStart w:name="637606865" w:id="541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149</w:t>
      </w:r>
    </w:p>
    <w:bookmarkEnd w:id="5410"/>
    <w:bookmarkStart w:name="637606866" w:id="5411"/>
    <w:tbl>
      <w:tblPr>
        <w:tblW w:w="18660" w:type="auto"/>
        <w:tblCellSpacing w:w="0" w:type="auto"/>
        <w:tblBorders>
          <w:top w:val="none"/>
          <w:left w:val="none"/>
          <w:bottom w:val="none"/>
          <w:right w:val="none"/>
          <w:insideH w:val="none"/>
          <w:insideV w:val="none"/>
        </w:tblBorders>
        <w:tblLayout/>
      </w:tblPr>
      <w:tblGrid>
        <w:gridCol w:w="3921"/>
        <w:gridCol w:w="5954"/>
        <w:gridCol w:w="6125"/>
      </w:tblGrid>
      <w:tr>
        <w:trPr>
          <w:trHeight w:val="30" w:hRule="atLeast"/>
        </w:trPr>
        <w:tc>
          <w:tcPr>
            <w:tcW w:w="392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взрывоопасной зоны</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зоны помещения, смежного со взрывоопасной зоной другого помещения и отделенного от нее</w:t>
            </w:r>
          </w:p>
        </w:tc>
      </w:tr>
      <w:tr>
        <w:trPr>
          <w:trHeight w:val="30" w:hRule="atLeast"/>
        </w:trPr>
        <w:tc>
          <w:tcPr>
            <w:tcW w:w="0" w:type="auto"/>
            <w:vMerge/>
            <w:tcBorders>
              <w:top w:val="nil"/>
              <w:left w:val="single" w:color="cfcfcf" w:sz="8"/>
              <w:bottom w:val="single" w:color="cfcfcf" w:sz="8"/>
              <w:right w:val="single" w:color="cfcfcf" w:sz="8"/>
            </w:tcBorders>
          </w:tcP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стеной (перегородкой) с дверью, находящейся во взрывоопасной зоне</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стеной (перегородкой) без проемов или с проемами, оборудованными тамбур-шлюзами, или с дверями, находящимися вне взрывоопасной зоны</w:t>
            </w:r>
          </w:p>
        </w:tc>
      </w:tr>
      <w:tr>
        <w:trPr>
          <w:trHeight w:val="30" w:hRule="atLeast"/>
        </w:trPr>
        <w:tc>
          <w:tcPr>
            <w:tcW w:w="39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w:t>
            </w: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r>
      <w:tr>
        <w:trPr>
          <w:trHeight w:val="30" w:hRule="atLeast"/>
        </w:trPr>
        <w:tc>
          <w:tcPr>
            <w:tcW w:w="39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w:t>
            </w: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r>
      <w:tr>
        <w:trPr>
          <w:trHeight w:val="30" w:hRule="atLeast"/>
        </w:trPr>
        <w:tc>
          <w:tcPr>
            <w:tcW w:w="39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r>
      <w:tr>
        <w:trPr>
          <w:trHeight w:val="30" w:hRule="atLeast"/>
        </w:trPr>
        <w:tc>
          <w:tcPr>
            <w:tcW w:w="39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r>
      <w:tr>
        <w:trPr>
          <w:trHeight w:val="30" w:hRule="atLeast"/>
        </w:trPr>
        <w:tc>
          <w:tcPr>
            <w:tcW w:w="39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59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c>
          <w:tcPr>
            <w:tcW w:w="61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Невзрыво- и непожароопасная</w:t>
            </w:r>
          </w:p>
        </w:tc>
      </w:tr>
    </w:tbl>
    <w:bookmarkEnd w:id="5411"/>
    <w:bookmarkStart w:name="637606867" w:id="5412"/>
    <w:p>
      <w:pPr>
        <w:spacing w:before="120" w:after="120" w:line="240"/>
        <w:ind w:left="0"/>
        <w:jc w:val="both"/>
      </w:pPr>
      <w:r>
        <w:rPr>
          <w:rFonts w:hint="default" w:ascii="Times New Roman" w:hAnsi="Times New Roman"/>
          <w:b/>
          <w:i w:val="false"/>
          <w:color w:val="000000"/>
          <w:sz w:val="24"/>
        </w:rPr>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p>
    <w:bookmarkEnd w:id="5412"/>
    <w:bookmarkStart w:name="637606868" w:id="541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150</w:t>
      </w:r>
    </w:p>
    <w:bookmarkEnd w:id="5413"/>
    <w:bookmarkStart w:name="637606869" w:id="5414"/>
    <w:tbl>
      <w:tblPr>
        <w:tblW w:w="18660" w:type="auto"/>
        <w:tblCellSpacing w:w="0" w:type="auto"/>
        <w:tblBorders>
          <w:top w:val="none"/>
          <w:left w:val="none"/>
          <w:bottom w:val="none"/>
          <w:right w:val="none"/>
          <w:insideH w:val="none"/>
          <w:insideV w:val="none"/>
        </w:tblBorders>
        <w:tblLayout/>
      </w:tblPr>
      <w:tblGrid>
        <w:gridCol w:w="2989"/>
        <w:gridCol w:w="13011"/>
      </w:tblGrid>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взрывоопасной зоны</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Уровень взрывозащиты или степень защиты</w:t>
            </w:r>
          </w:p>
        </w:tc>
      </w:tr>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w:t>
            </w:r>
          </w:p>
        </w:tc>
      </w:tr>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 В-Iг</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w:t>
            </w:r>
          </w:p>
        </w:tc>
      </w:tr>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Оболочка со степенью защиты не менее IР44. Искрящие части машины (например, контактные кольц1) должны быть заключены в оболочку также со степенью защиты не менее IР44</w:t>
            </w:r>
          </w:p>
        </w:tc>
      </w:tr>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(при соблюдении требований 2060)</w:t>
            </w:r>
          </w:p>
        </w:tc>
      </w:tr>
      <w:tr>
        <w:trPr>
          <w:trHeight w:val="30" w:hRule="atLeast"/>
        </w:trPr>
        <w:tc>
          <w:tcPr>
            <w:tcW w:w="29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130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(при соблюдении требований 2060). Оболочка со степенью защиты IР54*. Искрящие части машины (например, контактные кольц1) должны быть заключены в оболочку также со степенью защиты IР54*</w:t>
            </w:r>
          </w:p>
        </w:tc>
      </w:tr>
    </w:tbl>
    <w:bookmarkEnd w:id="5414"/>
    <w:bookmarkStart w:name="637606870" w:id="5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До освоения электропромышленностью машин со степенью защиты оболочки IР54 разрешается применять машины со степенью защиты оболочки IР44.</w:t>
      </w:r>
    </w:p>
    <w:bookmarkEnd w:id="5415"/>
    <w:bookmarkStart w:name="637606871" w:id="5416"/>
    <w:p>
      <w:pPr>
        <w:spacing w:before="120" w:after="120" w:line="240"/>
        <w:ind w:left="0"/>
        <w:jc w:val="both"/>
      </w:pPr>
      <w:r>
        <w:rPr>
          <w:rFonts w:hint="default" w:ascii="Times New Roman" w:hAnsi="Times New Roman"/>
          <w:b/>
          <w:i w:val="false"/>
          <w:color w:val="000000"/>
          <w:sz w:val="24"/>
        </w:rPr>
        <w:t>Допустимый уровень взрывозащиты или степень защиты оболочки электрических аппаратов и приборов в зависимости от класса взрывоопасной зоны</w:t>
      </w:r>
    </w:p>
    <w:bookmarkEnd w:id="5416"/>
    <w:bookmarkStart w:name="637606872" w:id="541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151</w:t>
      </w:r>
    </w:p>
    <w:bookmarkEnd w:id="5417"/>
    <w:bookmarkStart w:name="637606873" w:id="5418"/>
    <w:tbl>
      <w:tblPr>
        <w:tblW w:w="16960" w:type="auto"/>
        <w:tblCellSpacing w:w="0" w:type="auto"/>
        <w:tblBorders>
          <w:top w:val="none"/>
          <w:left w:val="none"/>
          <w:bottom w:val="none"/>
          <w:right w:val="none"/>
          <w:insideH w:val="none"/>
          <w:insideV w:val="none"/>
        </w:tblBorders>
        <w:tblLayout/>
      </w:tblPr>
      <w:tblGrid>
        <w:gridCol w:w="5267"/>
        <w:gridCol w:w="10733"/>
      </w:tblGrid>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взрывоопасной зоны</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Уровень взрывозащиты или степень защиты</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r>
      <w:tr>
        <w:trPr>
          <w:trHeight w:val="30" w:hRule="atLeast"/>
        </w:trPr>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Стационарные установки</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особовзрывобезопасное</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 В-Iг</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 – для аппаратов и приборов, искрящих или подверженных нагреву выше 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Без средств взрывозащиты – для аппаратов и приборов, не искрящих и не подверженных нагреву выше 80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Оболочка со степенью защиты не менее IР54*</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Оболочка со степенью защиты не менее IР44*</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(при соблюдении требований 2060), особовзрывобезопасное</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(при соблюдении требований 2060). Оболочка со степенью защиты не менее IР54*</w:t>
            </w:r>
          </w:p>
        </w:tc>
      </w:tr>
      <w:tr>
        <w:trPr>
          <w:trHeight w:val="30" w:hRule="atLeast"/>
        </w:trPr>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Установки передвижные или являющиеся частью передвижных и ручные переносные</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 В-Iа</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особовзрывобезопасное</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 В-Iг</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(при соблюдении требований 2060), особовзрывобезопасное</w:t>
            </w:r>
          </w:p>
        </w:tc>
      </w:tr>
      <w:tr>
        <w:trPr>
          <w:trHeight w:val="30" w:hRule="atLeast"/>
        </w:trPr>
        <w:tc>
          <w:tcPr>
            <w:tcW w:w="52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107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(при соблюдении требований 2060). Оболочка со степенью защиты не менее IР54*</w:t>
            </w:r>
          </w:p>
        </w:tc>
      </w:tr>
    </w:tbl>
    <w:bookmarkEnd w:id="5418"/>
    <w:bookmarkStart w:name="637606874" w:id="5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Степень защиты оболочки аппаратов и приборов от проникновения воды (2-я цифра обозначения) допускается изменять в зависимости от условий среды, в которой они устанавливаются.</w:t>
      </w:r>
    </w:p>
    <w:bookmarkEnd w:id="5419"/>
    <w:bookmarkStart w:name="637606875" w:id="5420"/>
    <w:p>
      <w:pPr>
        <w:spacing w:before="120" w:after="120" w:line="240"/>
        <w:ind w:left="0"/>
        <w:jc w:val="both"/>
      </w:pPr>
      <w:r>
        <w:rPr>
          <w:rFonts w:hint="default" w:ascii="Times New Roman" w:hAnsi="Times New Roman"/>
          <w:b/>
          <w:i w:val="false"/>
          <w:color w:val="000000"/>
          <w:sz w:val="24"/>
        </w:rPr>
        <w:t>Допустимый уровень взрывозащиты или степень защиты электрических светильников в зависимости от класса взрывоопасной зоны</w:t>
      </w:r>
    </w:p>
    <w:bookmarkEnd w:id="5420"/>
    <w:bookmarkStart w:name="637606876" w:id="542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152</w:t>
      </w:r>
    </w:p>
    <w:bookmarkEnd w:id="5421"/>
    <w:bookmarkStart w:name="637606877" w:id="5422"/>
    <w:tbl>
      <w:tblPr>
        <w:tblW w:w="18660" w:type="auto"/>
        <w:tblCellSpacing w:w="0" w:type="auto"/>
        <w:tblBorders>
          <w:top w:val="none"/>
          <w:left w:val="none"/>
          <w:bottom w:val="none"/>
          <w:right w:val="none"/>
          <w:insideH w:val="none"/>
          <w:insideV w:val="none"/>
        </w:tblBorders>
        <w:tblLayout/>
      </w:tblPr>
      <w:tblGrid>
        <w:gridCol w:w="5399"/>
        <w:gridCol w:w="10601"/>
      </w:tblGrid>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Класс взрывоопасной зоны</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Уровень взрывозащиты или степень защиты</w:t>
            </w:r>
          </w:p>
        </w:tc>
      </w:tr>
      <w:tr>
        <w:trPr>
          <w:trHeight w:val="30" w:hRule="atLeast"/>
        </w:trPr>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Стационарные светильники</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 В-Iг</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Степень защиты IР53*</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 (при соблюдении требований 2060)</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Без средств взрывозащиты (при соблюдении требований 2060)</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Степень защиты IР53*</w:t>
            </w:r>
          </w:p>
        </w:tc>
      </w:tr>
      <w:tr>
        <w:trPr>
          <w:trHeight w:val="30" w:hRule="atLeast"/>
        </w:trPr>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Переносные светильники</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 В-Iа</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 В-Iг</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Взрывобезопасное (при соблюдении требований 2060)</w:t>
            </w:r>
          </w:p>
        </w:tc>
      </w:tr>
      <w:tr>
        <w:trPr>
          <w:trHeight w:val="30" w:hRule="atLeast"/>
        </w:trPr>
        <w:tc>
          <w:tcPr>
            <w:tcW w:w="53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В-IIа</w:t>
            </w:r>
          </w:p>
        </w:tc>
        <w:tc>
          <w:tcPr>
            <w:tcW w:w="1060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Повышенной надежности против взрыва (при соблюдении требований 2060)</w:t>
            </w:r>
          </w:p>
        </w:tc>
      </w:tr>
    </w:tbl>
    <w:bookmarkEnd w:id="5422"/>
    <w:bookmarkStart w:name="637606878" w:id="5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bookmarkEnd w:id="5423"/>
    <w:bookmarkStart w:name="637606879" w:id="5424"/>
    <w:p>
      <w:pPr>
        <w:spacing w:before="120" w:after="120" w:line="240"/>
        <w:ind w:left="0"/>
        <w:jc w:val="both"/>
      </w:pPr>
      <w:r>
        <w:rPr>
          <w:rFonts w:hint="default" w:ascii="Times New Roman" w:hAnsi="Times New Roman"/>
          <w:b/>
          <w:i w:val="false"/>
          <w:color w:val="000000"/>
          <w:sz w:val="24"/>
        </w:rPr>
        <w:t>Минимальное допустимое расстояние от отдельно стоящих РУ, ТП и ПП до помещений со взрывоопасными зонами и наружных взрывоопасных установок</w:t>
      </w:r>
    </w:p>
    <w:bookmarkEnd w:id="5424"/>
    <w:bookmarkStart w:name="637606880" w:id="542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153</w:t>
      </w:r>
    </w:p>
    <w:bookmarkEnd w:id="5425"/>
    <w:bookmarkStart w:name="637606881" w:id="5426"/>
    <w:tbl>
      <w:tblPr>
        <w:tblW w:w="18660" w:type="auto"/>
        <w:tblCellSpacing w:w="0" w:type="auto"/>
        <w:tblBorders>
          <w:top w:val="none"/>
          <w:left w:val="none"/>
          <w:bottom w:val="none"/>
          <w:right w:val="none"/>
          <w:insideH w:val="none"/>
          <w:insideV w:val="none"/>
        </w:tblBorders>
        <w:tblLayout/>
      </w:tblPr>
      <w:tblGrid>
        <w:gridCol w:w="10025"/>
        <w:gridCol w:w="3000"/>
        <w:gridCol w:w="2975"/>
      </w:tblGrid>
      <w:tr>
        <w:trPr>
          <w:trHeight w:val="30" w:hRule="atLeast"/>
        </w:trPr>
        <w:tc>
          <w:tcPr>
            <w:tcW w:w="10025" w:type="dxa"/>
            <w:vMerge w:val="restart"/>
            <w:tcBorders>
              <w:top w:val="single" w:color="cfcfcf" w:sz="8"/>
              <w:left w:val="single" w:color="cfcfcf" w:sz="8"/>
              <w:bottom w:val="single" w:color="cfcfcf" w:sz="8"/>
              <w:right w:val="single" w:color="cfcfcf" w:sz="8"/>
            </w:tcBorders>
            <w:vAlign w:val="center"/>
          </w:tcPr>
          <w:p>
            <w:pPr>
              <w:spacing w:after="14"/>
              <w:ind w:left="14"/>
              <w:jc w:val="left"/>
            </w:pPr>
            <w:r>
              <w:rPr>
                <w:rFonts w:hint="default" w:ascii="Times New Roman" w:hAnsi="Times New Roman"/>
                <w:b w:val="false"/>
                <w:i w:val="false"/>
                <w:color w:val="000000"/>
                <w:sz w:val="24"/>
              </w:rPr>
              <w:t>Помещения со взрывоопасными зонами и наружные</w:t>
            </w:r>
          </w:p>
          <w:p>
            <w:pPr>
              <w:spacing w:after="0"/>
              <w:ind w:left="14"/>
              <w:jc w:val="left"/>
            </w:pPr>
            <w:r>
              <w:rPr>
                <w:rFonts w:hint="default" w:ascii="Times New Roman" w:hAnsi="Times New Roman"/>
                <w:b w:val="false"/>
                <w:i w:val="false"/>
                <w:color w:val="000000"/>
                <w:sz w:val="24"/>
              </w:rPr>
              <w:t>взрывоопасные установки, до которых определяется расстояние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от РУ, ТП и ПП, м</w:t>
            </w:r>
          </w:p>
        </w:tc>
      </w:tr>
      <w:tr>
        <w:trPr>
          <w:trHeight w:val="30" w:hRule="atLeast"/>
        </w:trPr>
        <w:tc>
          <w:tcPr>
            <w:tcW w:w="0" w:type="auto"/>
            <w:vMerge/>
            <w:tcBorders>
              <w:top w:val="nil"/>
              <w:left w:val="single" w:color="cfcfcf" w:sz="8"/>
              <w:bottom w:val="single" w:color="cfcfcf" w:sz="8"/>
              <w:right w:val="single" w:color="cfcfcf" w:sz="8"/>
            </w:tcBorders>
          </w:tcP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закрытых</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открытых</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тяжелыми или сжиженными горючими газами</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РУ, ТП и ПП стеной с проемами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Наружные взрывоопасные установки, установки, расположенные у стен зданий (в том числе емкости)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Резервуары (газгольдеры), сливно-наливные эстакады с закрытым сливом или наливом</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легкими горючими газами и ЛВЖ, с горючими пылью или волокнами</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 (до открыто установленных трансформаторов)</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РУ, ТП и ПП стеной с проемами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Наружные взрывоопасные установки, установки, расположенные у стен зданий</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Сливно-наливные эстакады с закрытым сливом или наливом ЛВЖ</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Сливно-наливные эстакады с закрытым сливом или наливом ЛВЖ</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Резервуары с ЛВЖ</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100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Резервуары (газгольдеры) с горючими газами</w:t>
            </w:r>
          </w:p>
        </w:tc>
        <w:tc>
          <w:tcPr>
            <w:tcW w:w="30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bl>
    <w:bookmarkEnd w:id="5426"/>
    <w:bookmarkStart w:name="637606882" w:id="5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427"/>
    <w:bookmarkStart w:name="637606883" w:id="5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50 %.</w:t>
      </w:r>
    </w:p>
    <w:bookmarkEnd w:id="5428"/>
    <w:bookmarkStart w:name="637606884" w:id="5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p>
    <w:bookmarkEnd w:id="5429"/>
    <w:bookmarkStart w:name="637606885" w:id="5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Установки со сжиженным аммиаком следует относить к установкам с легкими горючими газами и ЛВЖ.</w:t>
      </w:r>
    </w:p>
    <w:bookmarkEnd w:id="5430"/>
    <w:bookmarkStart w:name="637606886" w:id="5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Расстояния по горизонтали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Расстояние до окон, заполненных стеклоблоками толщиной 10 см и более, не нормируется.</w:t>
      </w:r>
    </w:p>
    <w:bookmarkEnd w:id="5431"/>
    <w:bookmarkStart w:name="637606887" w:id="5432"/>
    <w:p>
      <w:pPr>
        <w:spacing w:before="120" w:after="120" w:line="240"/>
        <w:ind w:left="0"/>
        <w:jc w:val="both"/>
      </w:pPr>
      <w:r>
        <w:rPr>
          <w:rFonts w:hint="default" w:ascii="Times New Roman" w:hAnsi="Times New Roman"/>
          <w:b/>
          <w:i w:val="false"/>
          <w:color w:val="000000"/>
          <w:sz w:val="24"/>
        </w:rPr>
        <w:t>Допустимые способы прокладки кабелей и проводов во взрывоопасных зонах</w:t>
      </w:r>
    </w:p>
    <w:bookmarkEnd w:id="5432"/>
    <w:bookmarkStart w:name="637606888" w:id="543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154</w:t>
      </w:r>
    </w:p>
    <w:bookmarkEnd w:id="5433"/>
    <w:bookmarkStart w:name="637606889" w:id="5434"/>
    <w:tbl>
      <w:tblPr>
        <w:tblW w:w="0" w:type="auto"/>
        <w:tblCellSpacing w:w="0" w:type="auto"/>
        <w:tblBorders>
          <w:top w:val="none"/>
          <w:left w:val="none"/>
          <w:bottom w:val="none"/>
          <w:right w:val="none"/>
          <w:insideH w:val="none"/>
          <w:insideV w:val="none"/>
        </w:tblBorders>
        <w:tblLayout/>
      </w:tblPr>
      <w:tblGrid>
        <w:gridCol w:w="3200"/>
        <w:gridCol w:w="7040"/>
        <w:gridCol w:w="1440"/>
        <w:gridCol w:w="2240"/>
        <w:gridCol w:w="2080"/>
      </w:tblGrid>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Кабели и провода</w:t>
            </w: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Способ прокладки</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Сети выше 1 кВ</w:t>
            </w:r>
          </w:p>
        </w:tc>
        <w:tc>
          <w:tcPr>
            <w:tcW w:w="22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Силовые сети и вторичные цепи до 1 кВ</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Осветительные сети до 380 В</w:t>
            </w:r>
          </w:p>
        </w:tc>
      </w:tr>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Бронированные кабели</w:t>
            </w: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зонах любого класса</w:t>
            </w:r>
          </w:p>
        </w:tc>
      </w:tr>
      <w:tr>
        <w:trPr>
          <w:trHeight w:val="30" w:hRule="atLeast"/>
        </w:trPr>
        <w:tc>
          <w:tcPr>
            <w:tcW w:w="320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Небронированные кабели в резиновой, поливинилхлоридной и металлической оболочках</w:t>
            </w: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c>
          <w:tcPr>
            <w:tcW w:w="22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r>
      <w:tr>
        <w:trPr>
          <w:trHeight w:val="30" w:hRule="atLeast"/>
        </w:trPr>
        <w:tc>
          <w:tcPr>
            <w:tcW w:w="0" w:type="auto"/>
            <w:vMerge/>
            <w:tcBorders>
              <w:top w:val="nil"/>
              <w:left w:val="single" w:color="cfcfcf" w:sz="8"/>
              <w:bottom w:val="single" w:color="cfcfcf" w:sz="8"/>
              <w:right w:val="single" w:color="cfcfcf" w:sz="8"/>
            </w:tcBorders>
          </w:tcP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каналах пылеуплотненных (например, покрытых асфальтом) или засыпанных песком</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p>
        </w:tc>
        <w:tc>
          <w:tcPr>
            <w:tcW w:w="22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В-II,</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В-IIа</w:t>
            </w:r>
          </w:p>
        </w:tc>
      </w:tr>
      <w:tr>
        <w:trPr>
          <w:trHeight w:val="30" w:hRule="atLeast"/>
        </w:trPr>
        <w:tc>
          <w:tcPr>
            <w:tcW w:w="0" w:type="auto"/>
            <w:vMerge/>
            <w:tcBorders>
              <w:top w:val="nil"/>
              <w:left w:val="single" w:color="cfcfcf" w:sz="8"/>
              <w:bottom w:val="single" w:color="cfcfcf" w:sz="8"/>
              <w:right w:val="single" w:color="cfcfcf" w:sz="8"/>
            </w:tcBorders>
          </w:tcP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 – в коробах</w:t>
            </w:r>
          </w:p>
        </w:tc>
        <w:tc>
          <w:tcPr>
            <w:tcW w:w="14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c>
          <w:tcPr>
            <w:tcW w:w="22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c>
          <w:tcPr>
            <w:tcW w:w="208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В-Iа,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В-Iб,</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В-Iг</w:t>
            </w:r>
          </w:p>
        </w:tc>
      </w:tr>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0"/>
              <w:jc w:val="left"/>
            </w:pP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 и скрыто – в стальных водогазопроводных трубах</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зонах любого класса</w:t>
            </w:r>
          </w:p>
        </w:tc>
      </w:tr>
      <w:tr>
        <w:trPr>
          <w:trHeight w:val="30" w:hRule="atLeast"/>
        </w:trPr>
        <w:tc>
          <w:tcPr>
            <w:tcW w:w="320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Изолированные провода</w:t>
            </w:r>
          </w:p>
        </w:tc>
        <w:tc>
          <w:tcPr>
            <w:tcW w:w="70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Открыто и скрыто – в стальных водогазопроводных трубах</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 зонах любого класса</w:t>
            </w:r>
          </w:p>
        </w:tc>
      </w:tr>
    </w:tbl>
    <w:bookmarkEnd w:id="5434"/>
    <w:bookmarkStart w:name="637606890" w:id="5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Для искробезопасных цепей во взрывоопасных зонах любого класса разрешаются все перечисленные в таблице способы прокладки проводов и кабелей.</w:t>
      </w:r>
    </w:p>
    <w:bookmarkEnd w:id="5435"/>
    <w:bookmarkStart w:name="637606891" w:id="5436"/>
    <w:p>
      <w:pPr>
        <w:spacing w:before="120" w:after="120" w:line="240"/>
        <w:ind w:left="0"/>
        <w:jc w:val="both"/>
      </w:pPr>
      <w:r>
        <w:rPr>
          <w:rFonts w:hint="default" w:ascii="Times New Roman" w:hAnsi="Times New Roman"/>
          <w:b/>
          <w:i w:val="false"/>
          <w:color w:val="000000"/>
          <w:sz w:val="24"/>
        </w:rPr>
        <w:t>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p>
    <w:bookmarkEnd w:id="5436"/>
    <w:bookmarkStart w:name="637606892" w:id="543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155</w:t>
      </w:r>
    </w:p>
    <w:bookmarkEnd w:id="5437"/>
    <w:bookmarkStart w:name="637606893" w:id="5438"/>
    <w:tbl>
      <w:tblPr>
        <w:tblW w:w="18660" w:type="auto"/>
        <w:tblCellSpacing w:w="0" w:type="auto"/>
        <w:tblBorders>
          <w:top w:val="none"/>
          <w:left w:val="none"/>
          <w:bottom w:val="none"/>
          <w:right w:val="none"/>
          <w:insideH w:val="none"/>
          <w:insideV w:val="none"/>
        </w:tblBorders>
        <w:tblLayout/>
      </w:tblPr>
      <w:tblGrid>
        <w:gridCol w:w="10491"/>
        <w:gridCol w:w="2617"/>
        <w:gridCol w:w="2892"/>
      </w:tblGrid>
      <w:tr>
        <w:trPr>
          <w:trHeight w:val="30" w:hRule="atLeast"/>
        </w:trPr>
        <w:tc>
          <w:tcPr>
            <w:tcW w:w="10491"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w:t>
            </w:r>
          </w:p>
        </w:tc>
      </w:tr>
      <w:tr>
        <w:trPr>
          <w:trHeight w:val="30" w:hRule="atLeast"/>
        </w:trPr>
        <w:tc>
          <w:tcPr>
            <w:tcW w:w="0" w:type="auto"/>
            <w:vMerge/>
            <w:tcBorders>
              <w:top w:val="nil"/>
              <w:left w:val="single" w:color="cfcfcf" w:sz="8"/>
              <w:bottom w:val="single" w:color="cfcfcf" w:sz="8"/>
              <w:right w:val="single" w:color="cfcfcf" w:sz="8"/>
            </w:tcBorders>
          </w:tcP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токопроводов</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от кабельных эстакад</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тяжелыми или сжиженными горючими газами</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токопроводов и кабельных эстакад стеной с проемами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Наружные взрывоопасные установки, установки, расположенные у стен зданий (в том числе емкости)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Резервуары (газгольдеры)</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r>
        <w:trPr>
          <w:trHeight w:val="30" w:hRule="atLeast"/>
        </w:trPr>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 легкими горючими газами и ЛВЖ, с горючими пылью или волокнами</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 или 6 (см. примечание, п. 2)</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 нормируется</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Помещения с выходящей в сторону токопроводов и кабельных эстакад стеной с проемами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 или 6 (см. примечание, п.2)</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Наружные взрывоопасные установки, установки, расположенные у стен зданий (в том числе емкости)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Сливно-наливные эстакады с закрытым сливом или наливом ЛВЖ</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r>
        <w:trPr>
          <w:trHeight w:val="30" w:hRule="atLeast"/>
        </w:trPr>
        <w:tc>
          <w:tcPr>
            <w:tcW w:w="10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Резервуары (газгольдеры) с горючими газами</w:t>
            </w:r>
          </w:p>
        </w:tc>
        <w:tc>
          <w:tcPr>
            <w:tcW w:w="261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8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r>
    </w:tbl>
    <w:bookmarkEnd w:id="5438"/>
    <w:bookmarkStart w:name="637606894" w:id="5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439"/>
    <w:bookmarkStart w:name="637606895" w:id="5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Проезд пожарных автомобилей к кабельной эстакаде допускается с одной стороны эстакады.</w:t>
      </w:r>
    </w:p>
    <w:bookmarkEnd w:id="5440"/>
    <w:bookmarkStart w:name="637606896" w:id="5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СНиП по проектированию генеральных планов промышленных предприятий.</w:t>
      </w:r>
    </w:p>
    <w:bookmarkEnd w:id="5441"/>
    <w:bookmarkStart w:name="637606897" w:id="5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bookmarkEnd w:id="5442"/>
    <w:bookmarkStart w:name="637606898" w:id="5443"/>
    <w:p>
      <w:pPr>
        <w:spacing w:before="120" w:after="120" w:line="240"/>
        <w:ind w:left="0"/>
        <w:jc w:val="both"/>
      </w:pPr>
      <w:r>
        <w:rPr>
          <w:rFonts w:hint="default" w:ascii="Times New Roman" w:hAnsi="Times New Roman"/>
          <w:b/>
          <w:i w:val="false"/>
          <w:color w:val="000000"/>
          <w:sz w:val="24"/>
        </w:rPr>
        <w:t>Минимальные допустимые степени защиты оболочек электрических машин в зависимости от класса пожароопасной зоны</w:t>
      </w:r>
    </w:p>
    <w:bookmarkEnd w:id="5443"/>
    <w:bookmarkStart w:name="637606899" w:id="544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155-1</w:t>
      </w:r>
    </w:p>
    <w:bookmarkEnd w:id="5444"/>
    <w:bookmarkStart w:name="637606900" w:id="5445"/>
    <w:tbl>
      <w:tblPr>
        <w:tblW w:w="18660" w:type="auto"/>
        <w:tblCellSpacing w:w="0" w:type="auto"/>
        <w:tblBorders>
          <w:top w:val="none"/>
          <w:left w:val="none"/>
          <w:bottom w:val="none"/>
          <w:right w:val="none"/>
          <w:insideH w:val="none"/>
          <w:insideV w:val="none"/>
        </w:tblBorders>
        <w:tblLayout/>
      </w:tblPr>
      <w:tblGrid>
        <w:gridCol w:w="10458"/>
        <w:gridCol w:w="1383"/>
        <w:gridCol w:w="1410"/>
        <w:gridCol w:w="1333"/>
        <w:gridCol w:w="1416"/>
      </w:tblGrid>
      <w:tr>
        <w:trPr>
          <w:trHeight w:val="30" w:hRule="atLeast"/>
        </w:trPr>
        <w:tc>
          <w:tcPr>
            <w:tcW w:w="1045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установки и условия работы</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 защиты оболочки для пожароопасной зоны класса</w:t>
            </w:r>
          </w:p>
        </w:tc>
      </w:tr>
      <w:tr>
        <w:trPr>
          <w:trHeight w:val="30" w:hRule="atLeast"/>
        </w:trPr>
        <w:tc>
          <w:tcPr>
            <w:tcW w:w="0" w:type="auto"/>
            <w:vMerge/>
            <w:tcBorders>
              <w:top w:val="nil"/>
              <w:left w:val="single" w:color="cfcfcf" w:sz="8"/>
              <w:bottom w:val="single" w:color="cfcfcf" w:sz="8"/>
              <w:right w:val="single" w:color="cfcfcf" w:sz="8"/>
            </w:tcBorders>
          </w:tcPr>
          <w:p/>
        </w:tc>
        <w:tc>
          <w:tcPr>
            <w:tcW w:w="1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w:t>
            </w:r>
          </w:p>
        </w:tc>
        <w:tc>
          <w:tcPr>
            <w:tcW w:w="14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w:t>
            </w:r>
          </w:p>
        </w:tc>
        <w:tc>
          <w:tcPr>
            <w:tcW w:w="13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П-IIа</w:t>
            </w:r>
          </w:p>
        </w:tc>
        <w:tc>
          <w:tcPr>
            <w:tcW w:w="14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П-III</w:t>
            </w:r>
          </w:p>
        </w:tc>
      </w:tr>
      <w:tr>
        <w:trPr>
          <w:trHeight w:val="30" w:hRule="atLeast"/>
        </w:trPr>
        <w:tc>
          <w:tcPr>
            <w:tcW w:w="104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Стационарно установленные машины, искрящие или с искрящими частями по условиям работы</w:t>
            </w:r>
          </w:p>
        </w:tc>
        <w:tc>
          <w:tcPr>
            <w:tcW w:w="1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IР54*</w:t>
            </w:r>
          </w:p>
        </w:tc>
        <w:tc>
          <w:tcPr>
            <w:tcW w:w="13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r>
        <w:trPr>
          <w:trHeight w:val="30" w:hRule="atLeast"/>
        </w:trPr>
        <w:tc>
          <w:tcPr>
            <w:tcW w:w="104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Стационарно установленные машины, не искрящие и без искрящих частей по условиям работы</w:t>
            </w:r>
          </w:p>
        </w:tc>
        <w:tc>
          <w:tcPr>
            <w:tcW w:w="1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3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r>
        <w:trPr>
          <w:trHeight w:val="30" w:hRule="atLeast"/>
        </w:trPr>
        <w:tc>
          <w:tcPr>
            <w:tcW w:w="104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Машины с частями, искрящими и не искрящими по условиям работы, установленные на передвижных механизмах и установках (краны, тельферы, электротележки)</w:t>
            </w:r>
          </w:p>
        </w:tc>
        <w:tc>
          <w:tcPr>
            <w:tcW w:w="13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IР54*</w:t>
            </w:r>
          </w:p>
        </w:tc>
        <w:tc>
          <w:tcPr>
            <w:tcW w:w="13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bl>
    <w:bookmarkEnd w:id="5445"/>
    <w:bookmarkStart w:name="637606901" w:id="5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До освоения электропромышленностью машин со степенью защиты оболочки IР54 могут применяться машины со степенью защиты оболочки IР44.</w:t>
      </w:r>
    </w:p>
    <w:bookmarkEnd w:id="5446"/>
    <w:bookmarkStart w:name="637606902" w:id="5447"/>
    <w:p>
      <w:pPr>
        <w:spacing w:before="120" w:after="120" w:line="240"/>
        <w:ind w:left="0"/>
        <w:jc w:val="both"/>
      </w:pPr>
      <w:r>
        <w:rPr>
          <w:rFonts w:hint="default" w:ascii="Times New Roman" w:hAnsi="Times New Roman"/>
          <w:b/>
          <w:i w:val="false"/>
          <w:color w:val="000000"/>
          <w:sz w:val="24"/>
        </w:rPr>
        <w:t>Минимальные допустимые степени защиты оболочек электрических аппаратов, приборов, шкафов и сборок зажимов в зависимости от класса пожароопасной зоны</w:t>
      </w:r>
    </w:p>
    <w:bookmarkEnd w:id="5447"/>
    <w:bookmarkStart w:name="637606903" w:id="544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156</w:t>
      </w:r>
    </w:p>
    <w:bookmarkEnd w:id="5448"/>
    <w:bookmarkStart w:name="637606904" w:id="5449"/>
    <w:tbl>
      <w:tblPr>
        <w:tblW w:w="18660" w:type="auto"/>
        <w:tblCellSpacing w:w="0" w:type="auto"/>
        <w:tblBorders>
          <w:top w:val="none"/>
          <w:left w:val="none"/>
          <w:bottom w:val="none"/>
          <w:right w:val="none"/>
          <w:insideH w:val="none"/>
          <w:insideV w:val="none"/>
        </w:tblBorders>
        <w:tblLayout/>
      </w:tblPr>
      <w:tblGrid>
        <w:gridCol w:w="10405"/>
        <w:gridCol w:w="1431"/>
        <w:gridCol w:w="1485"/>
        <w:gridCol w:w="1431"/>
        <w:gridCol w:w="1248"/>
      </w:tblGrid>
      <w:tr>
        <w:trPr>
          <w:trHeight w:val="30" w:hRule="atLeast"/>
        </w:trPr>
        <w:tc>
          <w:tcPr>
            <w:tcW w:w="1040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установки и условия работы</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 защиты оболочки для пожароопасной зоны класса</w:t>
            </w:r>
          </w:p>
        </w:tc>
      </w:tr>
      <w:tr>
        <w:trPr>
          <w:trHeight w:val="30" w:hRule="atLeast"/>
        </w:trPr>
        <w:tc>
          <w:tcPr>
            <w:tcW w:w="0" w:type="auto"/>
            <w:vMerge/>
            <w:tcBorders>
              <w:top w:val="nil"/>
              <w:left w:val="single" w:color="cfcfcf" w:sz="8"/>
              <w:bottom w:val="single" w:color="cfcfcf" w:sz="8"/>
              <w:right w:val="single" w:color="cfcfcf" w:sz="8"/>
            </w:tcBorders>
          </w:tcP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w:t>
            </w:r>
          </w:p>
        </w:tc>
        <w:tc>
          <w:tcPr>
            <w:tcW w:w="14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П-IIа</w:t>
            </w:r>
          </w:p>
        </w:tc>
        <w:tc>
          <w:tcPr>
            <w:tcW w:w="12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П-III</w:t>
            </w:r>
          </w:p>
        </w:tc>
      </w:tr>
      <w:tr>
        <w:trPr>
          <w:trHeight w:val="30" w:hRule="atLeast"/>
        </w:trPr>
        <w:tc>
          <w:tcPr>
            <w:tcW w:w="104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Установленные стационарно или на передвижных механизмах и установках (краны, тельферы, электротележки), искрящие по условиям работы</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IР54</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2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r>
        <w:trPr>
          <w:trHeight w:val="30" w:hRule="atLeast"/>
        </w:trPr>
        <w:tc>
          <w:tcPr>
            <w:tcW w:w="104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Установленные стационарно или на передвижных механизмах и установках, не искрящие по условиям работы</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2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r>
        <w:trPr>
          <w:trHeight w:val="30" w:hRule="atLeast"/>
        </w:trPr>
        <w:tc>
          <w:tcPr>
            <w:tcW w:w="104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Шкафы для размещения аппаратов и приборов</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IР54*</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IР44**</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2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r>
        <w:trPr>
          <w:trHeight w:val="30" w:hRule="atLeast"/>
        </w:trPr>
        <w:tc>
          <w:tcPr>
            <w:tcW w:w="1040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Коробки сборок зажимов силовых и вторичных цепей</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43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c>
          <w:tcPr>
            <w:tcW w:w="124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IР44</w:t>
            </w:r>
          </w:p>
        </w:tc>
      </w:tr>
    </w:tbl>
    <w:bookmarkEnd w:id="5449"/>
    <w:bookmarkStart w:name="637606905" w:id="5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При установке в них аппаратов и приборов, искрящих по условиям работы. До освоения электропромышленностью шкафов со степенью защиты оболочки IР54 могут применяться шкафы со степенью защиты оболочки IР44.</w:t>
      </w:r>
    </w:p>
    <w:bookmarkEnd w:id="5450"/>
    <w:bookmarkStart w:name="637606906" w:id="5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При установке в них аппаратов и приборов, не искрящих по условиям работы.</w:t>
      </w:r>
    </w:p>
    <w:bookmarkEnd w:id="5451"/>
    <w:bookmarkStart w:name="637606907" w:id="5452"/>
    <w:p>
      <w:pPr>
        <w:spacing w:before="120" w:after="120" w:line="240"/>
        <w:ind w:left="0"/>
        <w:jc w:val="both"/>
      </w:pPr>
      <w:r>
        <w:rPr>
          <w:rFonts w:hint="default" w:ascii="Times New Roman" w:hAnsi="Times New Roman"/>
          <w:b/>
          <w:i w:val="false"/>
          <w:color w:val="000000"/>
          <w:sz w:val="24"/>
        </w:rPr>
        <w:t>Минимальные допустимые степени защиты светильников в зависимости от класса пожароопасной зоны</w:t>
      </w:r>
    </w:p>
    <w:bookmarkEnd w:id="5452"/>
    <w:bookmarkStart w:name="637606908" w:id="545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157</w:t>
      </w:r>
    </w:p>
    <w:bookmarkEnd w:id="5453"/>
    <w:bookmarkStart w:name="637606909" w:id="5454"/>
    <w:tbl>
      <w:tblPr>
        <w:tblW w:w="18660" w:type="auto"/>
        <w:tblCellSpacing w:w="0" w:type="auto"/>
        <w:tblBorders>
          <w:top w:val="none"/>
          <w:left w:val="none"/>
          <w:bottom w:val="none"/>
          <w:right w:val="none"/>
          <w:insideH w:val="none"/>
          <w:insideV w:val="none"/>
        </w:tblBorders>
        <w:tblLayout/>
      </w:tblPr>
      <w:tblGrid>
        <w:gridCol w:w="6603"/>
        <w:gridCol w:w="1385"/>
        <w:gridCol w:w="1385"/>
        <w:gridCol w:w="4775"/>
        <w:gridCol w:w="1852"/>
      </w:tblGrid>
      <w:tr>
        <w:trPr>
          <w:trHeight w:val="30" w:hRule="atLeast"/>
        </w:trPr>
        <w:tc>
          <w:tcPr>
            <w:tcW w:w="6603"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Источники света, устанавливаемые в светильниках</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Степень защиты светильников для пожароопасной зоны класса</w:t>
            </w:r>
          </w:p>
        </w:tc>
      </w:tr>
      <w:tr>
        <w:trPr>
          <w:trHeight w:val="30" w:hRule="atLeast"/>
        </w:trPr>
        <w:tc>
          <w:tcPr>
            <w:tcW w:w="0" w:type="auto"/>
            <w:vMerge/>
            <w:tcBorders>
              <w:top w:val="nil"/>
              <w:left w:val="single" w:color="cfcfcf" w:sz="8"/>
              <w:bottom w:val="single" w:color="cfcfcf" w:sz="8"/>
              <w:right w:val="single" w:color="cfcfcf" w:sz="8"/>
            </w:tcBorders>
          </w:tcP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w:t>
            </w:r>
          </w:p>
        </w:tc>
        <w:tc>
          <w:tcPr>
            <w:tcW w:w="47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П-IIа, а также П-II при наличии местных нижних отсосов и общеобменной вентиляции</w:t>
            </w:r>
          </w:p>
        </w:tc>
        <w:tc>
          <w:tcPr>
            <w:tcW w:w="18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П-III</w:t>
            </w:r>
          </w:p>
        </w:tc>
      </w:tr>
      <w:tr>
        <w:trPr>
          <w:trHeight w:val="30" w:hRule="atLeast"/>
        </w:trPr>
        <w:tc>
          <w:tcPr>
            <w:tcW w:w="6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Лампы накаливания</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IР53</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IР53</w:t>
            </w:r>
          </w:p>
        </w:tc>
        <w:tc>
          <w:tcPr>
            <w:tcW w:w="47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18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r>
      <w:tr>
        <w:trPr>
          <w:trHeight w:val="30" w:hRule="atLeast"/>
        </w:trPr>
        <w:tc>
          <w:tcPr>
            <w:tcW w:w="6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Лампы ДРЛ</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IР53</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IР53</w:t>
            </w:r>
          </w:p>
        </w:tc>
        <w:tc>
          <w:tcPr>
            <w:tcW w:w="47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IР23</w:t>
            </w:r>
          </w:p>
        </w:tc>
        <w:tc>
          <w:tcPr>
            <w:tcW w:w="18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IР23</w:t>
            </w:r>
          </w:p>
        </w:tc>
      </w:tr>
      <w:tr>
        <w:trPr>
          <w:trHeight w:val="30" w:hRule="atLeast"/>
        </w:trPr>
        <w:tc>
          <w:tcPr>
            <w:tcW w:w="6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Люминесцентные лампы</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w:t>
            </w:r>
          </w:p>
        </w:tc>
        <w:tc>
          <w:tcPr>
            <w:tcW w:w="138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w:t>
            </w:r>
          </w:p>
        </w:tc>
        <w:tc>
          <w:tcPr>
            <w:tcW w:w="47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IР23</w:t>
            </w:r>
          </w:p>
        </w:tc>
        <w:tc>
          <w:tcPr>
            <w:tcW w:w="185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IР23</w:t>
            </w:r>
          </w:p>
        </w:tc>
      </w:tr>
    </w:tbl>
    <w:bookmarkEnd w:id="5454"/>
    <w:bookmarkStart w:name="637606910" w:id="5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bookmarkEnd w:id="5455"/>
    <w:bookmarkStart w:name="637606911" w:id="5456"/>
    <w:p>
      <w:pPr>
        <w:spacing w:before="120" w:after="120" w:line="240"/>
        <w:ind w:left="0"/>
        <w:jc w:val="both"/>
      </w:pPr>
      <w:r>
        <w:rPr>
          <w:rFonts w:hint="default" w:ascii="Times New Roman" w:hAnsi="Times New Roman"/>
          <w:b/>
          <w:i w:val="false"/>
          <w:color w:val="000000"/>
          <w:sz w:val="24"/>
        </w:rPr>
        <w:t>Открытые наземные склады хранения горючих материалов и веществ, готовой продукции и оборудования</w:t>
      </w:r>
    </w:p>
    <w:bookmarkEnd w:id="5456"/>
    <w:bookmarkStart w:name="637606912" w:id="545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158</w:t>
      </w:r>
    </w:p>
    <w:bookmarkEnd w:id="5457"/>
    <w:bookmarkStart w:name="637606913" w:id="5458"/>
    <w:tbl>
      <w:tblPr>
        <w:tblW w:w="18660" w:type="auto"/>
        <w:tblCellSpacing w:w="0" w:type="auto"/>
        <w:tblBorders>
          <w:top w:val="none"/>
          <w:left w:val="none"/>
          <w:bottom w:val="none"/>
          <w:right w:val="none"/>
          <w:insideH w:val="none"/>
          <w:insideV w:val="none"/>
        </w:tblBorders>
        <w:tblLayout/>
      </w:tblPr>
      <w:tblGrid>
        <w:gridCol w:w="10608"/>
        <w:gridCol w:w="5392"/>
      </w:tblGrid>
      <w:tr>
        <w:trPr>
          <w:trHeight w:val="30" w:hRule="atLeast"/>
        </w:trPr>
        <w:tc>
          <w:tcPr>
            <w:tcW w:w="10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Склады</w:t>
            </w:r>
          </w:p>
        </w:tc>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Вместимость, площадь</w:t>
            </w:r>
          </w:p>
        </w:tc>
      </w:tr>
      <w:tr>
        <w:trPr>
          <w:trHeight w:val="30" w:hRule="atLeast"/>
        </w:trPr>
        <w:tc>
          <w:tcPr>
            <w:tcW w:w="10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Каменного угля, торфа, грубых кормов (сена, соломы), льна, конопли, хлопка, зерна</w:t>
            </w:r>
          </w:p>
        </w:tc>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1000 т</w:t>
            </w:r>
          </w:p>
        </w:tc>
      </w:tr>
      <w:tr>
        <w:trPr>
          <w:trHeight w:val="30" w:hRule="atLeast"/>
        </w:trPr>
        <w:tc>
          <w:tcPr>
            <w:tcW w:w="10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Лесоматериалов, дров, щепы, опилок</w:t>
            </w:r>
          </w:p>
        </w:tc>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1000 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3</w:t>
            </w:r>
          </w:p>
        </w:tc>
      </w:tr>
      <w:tr>
        <w:trPr>
          <w:trHeight w:val="30" w:hRule="atLeast"/>
        </w:trPr>
        <w:tc>
          <w:tcPr>
            <w:tcW w:w="10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Горючих жидкостей</w:t>
            </w:r>
          </w:p>
        </w:tc>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3000 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3</w:t>
            </w:r>
          </w:p>
        </w:tc>
      </w:tr>
      <w:tr>
        <w:trPr>
          <w:trHeight w:val="30" w:hRule="atLeast"/>
        </w:trPr>
        <w:tc>
          <w:tcPr>
            <w:tcW w:w="106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Готовой продукции и оборудования в сгораемой упаковке</w:t>
            </w:r>
          </w:p>
        </w:tc>
        <w:tc>
          <w:tcPr>
            <w:tcW w:w="53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1 га</w:t>
            </w:r>
          </w:p>
        </w:tc>
      </w:tr>
    </w:tbl>
    <w:bookmarkEnd w:id="5458"/>
    <w:bookmarkStart w:name="637606914" w:id="5459"/>
    <w:p>
      <w:pPr>
        <w:spacing w:before="120" w:after="120" w:line="240"/>
        <w:ind w:left="0"/>
        <w:jc w:val="both"/>
      </w:pPr>
      <w:r>
        <w:rPr>
          <w:rFonts w:hint="default" w:ascii="Times New Roman" w:hAnsi="Times New Roman"/>
          <w:b/>
          <w:i w:val="false"/>
          <w:color w:val="000000"/>
          <w:sz w:val="24"/>
        </w:rPr>
        <w:t>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таблице 158</w:t>
      </w:r>
    </w:p>
    <w:bookmarkEnd w:id="5459"/>
    <w:bookmarkStart w:name="637606915" w:id="5460"/>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159</w:t>
      </w:r>
    </w:p>
    <w:bookmarkEnd w:id="5460"/>
    <w:bookmarkStart w:name="637606916" w:id="5461"/>
    <w:tbl>
      <w:tblPr>
        <w:tblW w:w="18660" w:type="auto"/>
        <w:tblCellSpacing w:w="0" w:type="auto"/>
        <w:tblBorders>
          <w:top w:val="none"/>
          <w:left w:val="none"/>
          <w:bottom w:val="none"/>
          <w:right w:val="none"/>
          <w:insideH w:val="none"/>
          <w:insideV w:val="none"/>
        </w:tblBorders>
        <w:tblLayout/>
      </w:tblPr>
      <w:tblGrid>
        <w:gridCol w:w="4266"/>
        <w:gridCol w:w="1424"/>
        <w:gridCol w:w="1698"/>
        <w:gridCol w:w="1722"/>
        <w:gridCol w:w="1726"/>
        <w:gridCol w:w="1702"/>
        <w:gridCol w:w="1726"/>
        <w:gridCol w:w="1736"/>
      </w:tblGrid>
      <w:tr>
        <w:trPr>
          <w:trHeight w:val="30" w:hRule="atLeast"/>
        </w:trPr>
        <w:tc>
          <w:tcPr>
            <w:tcW w:w="426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Высота подвеса верхнего провода ВЛ от уровня земли, м</w:t>
            </w:r>
          </w:p>
        </w:tc>
        <w:tc>
          <w:tcPr>
            <w:tcW w:w="0" w:type="auto"/>
            <w:gridSpan w:val="7"/>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Наименьшее расстояние, м, при расчетной скорости ветра, м/с (районе по ветру)</w:t>
            </w:r>
          </w:p>
        </w:tc>
      </w:tr>
      <w:tr>
        <w:trPr>
          <w:trHeight w:val="30" w:hRule="atLeast"/>
        </w:trPr>
        <w:tc>
          <w:tcPr>
            <w:tcW w:w="0" w:type="auto"/>
            <w:vMerge/>
            <w:tcBorders>
              <w:top w:val="nil"/>
              <w:left w:val="single" w:color="cfcfcf" w:sz="8"/>
              <w:bottom w:val="single" w:color="cfcfcf" w:sz="8"/>
              <w:right w:val="single" w:color="cfcfcf" w:sz="8"/>
            </w:tcBorders>
          </w:tcP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 (I)</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18(II)</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21(III)</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24(IV)</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27(V)</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30(VI)</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33(VII)</w:t>
            </w:r>
          </w:p>
        </w:tc>
      </w:tr>
      <w:tr>
        <w:trPr>
          <w:trHeight w:val="30" w:hRule="atLeast"/>
        </w:trPr>
        <w:tc>
          <w:tcPr>
            <w:tcW w:w="42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7</w:t>
            </w: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w:t>
            </w:r>
          </w:p>
        </w:tc>
      </w:tr>
      <w:tr>
        <w:trPr>
          <w:trHeight w:val="30" w:hRule="atLeast"/>
        </w:trPr>
        <w:tc>
          <w:tcPr>
            <w:tcW w:w="42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w:t>
            </w:r>
          </w:p>
        </w:tc>
      </w:tr>
      <w:tr>
        <w:trPr>
          <w:trHeight w:val="30" w:hRule="atLeast"/>
        </w:trPr>
        <w:tc>
          <w:tcPr>
            <w:tcW w:w="42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r>
      <w:tr>
        <w:trPr>
          <w:trHeight w:val="30" w:hRule="atLeast"/>
        </w:trPr>
        <w:tc>
          <w:tcPr>
            <w:tcW w:w="42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w:t>
            </w:r>
          </w:p>
        </w:tc>
      </w:tr>
      <w:tr>
        <w:trPr>
          <w:trHeight w:val="30" w:hRule="atLeast"/>
        </w:trPr>
        <w:tc>
          <w:tcPr>
            <w:tcW w:w="426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14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w:t>
            </w:r>
          </w:p>
        </w:tc>
        <w:tc>
          <w:tcPr>
            <w:tcW w:w="16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c>
          <w:tcPr>
            <w:tcW w:w="17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17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w:t>
            </w:r>
          </w:p>
        </w:tc>
        <w:tc>
          <w:tcPr>
            <w:tcW w:w="173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w:t>
            </w:r>
          </w:p>
        </w:tc>
      </w:tr>
    </w:tbl>
    <w:bookmarkEnd w:id="5461"/>
    <w:bookmarkStart w:name="637606917" w:id="5462"/>
    <w:p>
      <w:pPr>
        <w:spacing w:before="120" w:after="120" w:line="240"/>
        <w:ind w:left="0"/>
        <w:jc w:val="both"/>
      </w:pPr>
      <w:r>
        <w:rPr>
          <w:rFonts w:hint="default" w:ascii="Times New Roman" w:hAnsi="Times New Roman"/>
          <w:b/>
          <w:i w:val="false"/>
          <w:color w:val="000000"/>
          <w:sz w:val="24"/>
        </w:rPr>
        <w:t>Допустимый длительный ток промышленной частоты однофазных токопроводов из шихтованного пакета алюминиевых прямоугольных шин</w:t>
      </w:r>
    </w:p>
    <w:bookmarkEnd w:id="5462"/>
    <w:bookmarkStart w:name="637606918" w:id="5463"/>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160</w:t>
      </w:r>
    </w:p>
    <w:bookmarkEnd w:id="5463"/>
    <w:bookmarkStart w:name="637606919" w:id="5464"/>
    <w:tbl>
      <w:tblPr>
        <w:tblW w:w="18660" w:type="auto"/>
        <w:tblCellSpacing w:w="0" w:type="auto"/>
        <w:tblBorders>
          <w:top w:val="none"/>
          <w:left w:val="none"/>
          <w:bottom w:val="none"/>
          <w:right w:val="none"/>
          <w:insideH w:val="none"/>
          <w:insideV w:val="none"/>
        </w:tblBorders>
        <w:tblLayout/>
      </w:tblPr>
      <w:tblGrid>
        <w:gridCol w:w="2429"/>
        <w:gridCol w:w="1669"/>
        <w:gridCol w:w="1669"/>
        <w:gridCol w:w="1708"/>
        <w:gridCol w:w="1708"/>
        <w:gridCol w:w="1708"/>
        <w:gridCol w:w="1708"/>
        <w:gridCol w:w="1708"/>
        <w:gridCol w:w="1693"/>
      </w:tblGrid>
      <w:tr>
        <w:trPr>
          <w:trHeight w:val="30" w:hRule="atLeast"/>
        </w:trPr>
        <w:tc>
          <w:tcPr>
            <w:tcW w:w="242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 полосы, мм</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числе полос в пакете</w:t>
            </w:r>
          </w:p>
        </w:tc>
      </w:tr>
      <w:tr>
        <w:trPr>
          <w:trHeight w:val="30" w:hRule="atLeast"/>
        </w:trPr>
        <w:tc>
          <w:tcPr>
            <w:tcW w:w="0" w:type="auto"/>
            <w:vMerge/>
            <w:tcBorders>
              <w:top w:val="nil"/>
              <w:left w:val="single" w:color="cfcfcf" w:sz="8"/>
              <w:bottom w:val="single" w:color="cfcfcf" w:sz="8"/>
              <w:right w:val="single" w:color="cfcfcf" w:sz="8"/>
            </w:tcBorders>
          </w:tcP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2480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3705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4935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7380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9850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12315</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14850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1455</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4325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5735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8600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11470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14315</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17155</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1685</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3330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4980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6625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9910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13205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16490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19785</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1870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3705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5545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7380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11045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14710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18375</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22090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2090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4135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6185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8225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12315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16410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20490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24610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4560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6825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9090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13585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18105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22605</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27120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2865</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5595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8390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11185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16640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22185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27730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33275</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20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11560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15415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23075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30740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38350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46060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10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3330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6600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9900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13200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19625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26170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32710</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39200</w:t>
            </w:r>
          </w:p>
        </w:tc>
      </w:tr>
      <w:tr>
        <w:trPr>
          <w:trHeight w:val="30" w:hRule="atLeast"/>
        </w:trPr>
        <w:tc>
          <w:tcPr>
            <w:tcW w:w="242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20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4560</w:t>
            </w:r>
          </w:p>
        </w:tc>
        <w:tc>
          <w:tcPr>
            <w:tcW w:w="16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8995</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13440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17880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26790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35720</w:t>
            </w:r>
          </w:p>
        </w:tc>
        <w:tc>
          <w:tcPr>
            <w:tcW w:w="17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44605</w:t>
            </w:r>
          </w:p>
        </w:tc>
        <w:tc>
          <w:tcPr>
            <w:tcW w:w="169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53485</w:t>
            </w:r>
          </w:p>
        </w:tc>
      </w:tr>
    </w:tbl>
    <w:bookmarkEnd w:id="5464"/>
    <w:bookmarkStart w:name="637606920" w:id="5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В таблице 160–163 токи приведены для неокрашенных шин, установленных на ребро, при зазоре между шинами 30 мм для шин высотой 300 мм и 20 мм для шин высотой 250 мм и менее.</w:t>
      </w:r>
    </w:p>
    <w:bookmarkEnd w:id="5465"/>
    <w:bookmarkStart w:name="637606921" w:id="5466"/>
    <w:p>
      <w:pPr>
        <w:spacing w:before="120" w:after="120" w:line="240"/>
        <w:ind w:left="0"/>
        <w:jc w:val="both"/>
      </w:pPr>
      <w:r>
        <w:rPr>
          <w:rFonts w:hint="default" w:ascii="Times New Roman" w:hAnsi="Times New Roman"/>
          <w:b/>
          <w:i w:val="false"/>
          <w:color w:val="000000"/>
          <w:sz w:val="24"/>
        </w:rPr>
        <w:t>Допустимый длительный ток промышленной частоты однофазных токопроводов из шихтованного пакета медных прямоугольных шин</w:t>
      </w:r>
    </w:p>
    <w:bookmarkEnd w:id="5466"/>
    <w:bookmarkStart w:name="637606922" w:id="546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161</w:t>
      </w:r>
    </w:p>
    <w:bookmarkEnd w:id="5467"/>
    <w:bookmarkStart w:name="637606923" w:id="5468"/>
    <w:tbl>
      <w:tblPr>
        <w:tblW w:w="18660" w:type="auto"/>
        <w:tblCellSpacing w:w="0" w:type="auto"/>
        <w:tblBorders>
          <w:top w:val="none"/>
          <w:left w:val="none"/>
          <w:bottom w:val="none"/>
          <w:right w:val="none"/>
          <w:insideH w:val="none"/>
          <w:insideV w:val="none"/>
        </w:tblBorders>
        <w:tblLayout/>
      </w:tblPr>
      <w:tblGrid>
        <w:gridCol w:w="2510"/>
        <w:gridCol w:w="1657"/>
        <w:gridCol w:w="1491"/>
        <w:gridCol w:w="1726"/>
        <w:gridCol w:w="1726"/>
        <w:gridCol w:w="1726"/>
        <w:gridCol w:w="1726"/>
        <w:gridCol w:w="1727"/>
        <w:gridCol w:w="1711"/>
      </w:tblGrid>
      <w:tr>
        <w:trPr>
          <w:trHeight w:val="30" w:hRule="atLeast"/>
        </w:trPr>
        <w:tc>
          <w:tcPr>
            <w:tcW w:w="2510"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 полосы, мм</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числе полос в пакете</w:t>
            </w:r>
          </w:p>
        </w:tc>
      </w:tr>
      <w:tr>
        <w:trPr>
          <w:trHeight w:val="30" w:hRule="atLeast"/>
        </w:trPr>
        <w:tc>
          <w:tcPr>
            <w:tcW w:w="0" w:type="auto"/>
            <w:vMerge/>
            <w:tcBorders>
              <w:top w:val="nil"/>
              <w:left w:val="single" w:color="cfcfcf" w:sz="8"/>
              <w:bottom w:val="single" w:color="cfcfcf" w:sz="8"/>
              <w:right w:val="single" w:color="cfcfcf" w:sz="8"/>
            </w:tcBorders>
          </w:tcP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1880</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3590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5280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7005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13820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17250</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20680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2185</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4145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6110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8085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12005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15935</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19880</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23780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2475</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6920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13585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18050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22465</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26930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2755</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5170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7670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10150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19930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24910</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29800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3035</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16545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21900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27355</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32760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3335</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6300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9280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12220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18140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24065</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29985</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35910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4060</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7660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11235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14805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21930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29140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36235</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43430</w:t>
            </w:r>
          </w:p>
        </w:tc>
      </w:tr>
      <w:tr>
        <w:trPr>
          <w:trHeight w:val="30" w:hRule="atLeast"/>
        </w:trPr>
        <w:tc>
          <w:tcPr>
            <w:tcW w:w="251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10</w:t>
            </w:r>
          </w:p>
        </w:tc>
        <w:tc>
          <w:tcPr>
            <w:tcW w:w="165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4840</w:t>
            </w:r>
          </w:p>
        </w:tc>
        <w:tc>
          <w:tcPr>
            <w:tcW w:w="149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9135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13395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17670</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26225</w:t>
            </w:r>
          </w:p>
        </w:tc>
        <w:tc>
          <w:tcPr>
            <w:tcW w:w="17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34780</w:t>
            </w:r>
          </w:p>
        </w:tc>
        <w:tc>
          <w:tcPr>
            <w:tcW w:w="172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43380</w:t>
            </w:r>
          </w:p>
        </w:tc>
        <w:tc>
          <w:tcPr>
            <w:tcW w:w="171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51700</w:t>
            </w:r>
          </w:p>
        </w:tc>
      </w:tr>
    </w:tbl>
    <w:bookmarkEnd w:id="5468"/>
    <w:bookmarkStart w:name="637606924" w:id="5469"/>
    <w:p>
      <w:pPr>
        <w:spacing w:before="120" w:after="120" w:line="240"/>
        <w:ind w:left="0"/>
        <w:jc w:val="both"/>
      </w:pP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См. примечание к таблице 160.</w:t>
      </w:r>
    </w:p>
    <w:bookmarkEnd w:id="5469"/>
    <w:bookmarkStart w:name="637606925" w:id="5470"/>
    <w:p>
      <w:pPr>
        <w:spacing w:before="120" w:after="120" w:line="240"/>
        <w:ind w:left="0"/>
        <w:jc w:val="both"/>
      </w:pPr>
      <w:r>
        <w:rPr>
          <w:rFonts w:hint="default" w:ascii="Times New Roman" w:hAnsi="Times New Roman"/>
          <w:b/>
          <w:i w:val="false"/>
          <w:color w:val="000000"/>
          <w:sz w:val="24"/>
        </w:rPr>
        <w:t>Допустимый длительный ток промышленной частоты трехфазных токопроводов из шихтованного пакета алюминиевых прямоугольных шин</w:t>
      </w:r>
    </w:p>
    <w:bookmarkEnd w:id="5470"/>
    <w:bookmarkStart w:name="637606926" w:id="5471"/>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162</w:t>
      </w:r>
    </w:p>
    <w:bookmarkEnd w:id="5471"/>
    <w:bookmarkStart w:name="637606927" w:id="5472"/>
    <w:tbl>
      <w:tblPr>
        <w:tblW w:w="18660" w:type="auto"/>
        <w:tblCellSpacing w:w="0" w:type="auto"/>
        <w:tblBorders>
          <w:top w:val="none"/>
          <w:left w:val="none"/>
          <w:bottom w:val="none"/>
          <w:right w:val="none"/>
          <w:insideH w:val="none"/>
          <w:insideV w:val="none"/>
        </w:tblBorders>
        <w:tblLayout/>
      </w:tblPr>
      <w:tblGrid>
        <w:gridCol w:w="2795"/>
        <w:gridCol w:w="2178"/>
        <w:gridCol w:w="2179"/>
        <w:gridCol w:w="2212"/>
        <w:gridCol w:w="2212"/>
        <w:gridCol w:w="2212"/>
        <w:gridCol w:w="2212"/>
      </w:tblGrid>
      <w:tr>
        <w:trPr>
          <w:trHeight w:val="30" w:hRule="atLeast"/>
        </w:trPr>
        <w:tc>
          <w:tcPr>
            <w:tcW w:w="279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 полосы,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числе полос в пакете</w:t>
            </w:r>
          </w:p>
        </w:tc>
      </w:tr>
      <w:tr>
        <w:trPr>
          <w:trHeight w:val="30" w:hRule="atLeast"/>
        </w:trPr>
        <w:tc>
          <w:tcPr>
            <w:tcW w:w="0" w:type="auto"/>
            <w:vMerge/>
            <w:tcBorders>
              <w:top w:val="nil"/>
              <w:left w:val="single" w:color="cfcfcf" w:sz="8"/>
              <w:bottom w:val="single" w:color="cfcfcf" w:sz="8"/>
              <w:right w:val="single" w:color="cfcfcf" w:sz="8"/>
            </w:tcBorders>
          </w:tcP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1240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2470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3690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4920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7390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9900</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1445</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5735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5890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11435</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1665</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3320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6605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9895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13190</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3695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5525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7365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11025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14725</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2070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4125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6155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8210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12295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16405</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2280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4550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6790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9055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13565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18080</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2795</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5595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8320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11090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16640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22185</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20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3880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7710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11540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15385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23010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30705</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10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6600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9815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13085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19625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26130</w:t>
            </w:r>
          </w:p>
        </w:tc>
      </w:tr>
      <w:tr>
        <w:trPr>
          <w:trHeight w:val="30" w:hRule="atLeast"/>
        </w:trPr>
        <w:tc>
          <w:tcPr>
            <w:tcW w:w="279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20</w:t>
            </w:r>
          </w:p>
        </w:tc>
        <w:tc>
          <w:tcPr>
            <w:tcW w:w="217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4500</w:t>
            </w:r>
          </w:p>
        </w:tc>
        <w:tc>
          <w:tcPr>
            <w:tcW w:w="217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8960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13395</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17860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26760</w:t>
            </w:r>
          </w:p>
        </w:tc>
        <w:tc>
          <w:tcPr>
            <w:tcW w:w="22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35655</w:t>
            </w:r>
          </w:p>
        </w:tc>
      </w:tr>
    </w:tbl>
    <w:bookmarkEnd w:id="5472"/>
    <w:bookmarkStart w:name="637606928" w:id="5473"/>
    <w:p>
      <w:pPr>
        <w:spacing w:before="120" w:after="120" w:line="240"/>
        <w:ind w:left="0"/>
        <w:jc w:val="both"/>
      </w:pP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См. примечание к таблице 160.</w:t>
      </w:r>
    </w:p>
    <w:bookmarkEnd w:id="5473"/>
    <w:bookmarkStart w:name="637606929" w:id="5474"/>
    <w:p>
      <w:pPr>
        <w:spacing w:before="120" w:after="120" w:line="240"/>
        <w:ind w:left="0"/>
        <w:jc w:val="both"/>
      </w:pPr>
      <w:r>
        <w:rPr>
          <w:rFonts w:hint="default" w:ascii="Times New Roman" w:hAnsi="Times New Roman"/>
          <w:b/>
          <w:i w:val="false"/>
          <w:color w:val="000000"/>
          <w:sz w:val="24"/>
        </w:rPr>
        <w:t>Допустимый длительный ток промышленной частоты трехфазных токопроводов из шихтованного пакета медных прямоугольных шин</w:t>
      </w:r>
    </w:p>
    <w:bookmarkEnd w:id="5474"/>
    <w:bookmarkStart w:name="637606930" w:id="547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163</w:t>
      </w:r>
    </w:p>
    <w:bookmarkEnd w:id="5475"/>
    <w:bookmarkStart w:name="637606931" w:id="5476"/>
    <w:tbl>
      <w:tblPr>
        <w:tblW w:w="18660" w:type="auto"/>
        <w:tblCellSpacing w:w="0" w:type="auto"/>
        <w:tblBorders>
          <w:top w:val="none"/>
          <w:left w:val="none"/>
          <w:bottom w:val="none"/>
          <w:right w:val="none"/>
          <w:insideH w:val="none"/>
          <w:insideV w:val="none"/>
        </w:tblBorders>
        <w:tblLayout/>
      </w:tblPr>
      <w:tblGrid>
        <w:gridCol w:w="2975"/>
        <w:gridCol w:w="1903"/>
        <w:gridCol w:w="2141"/>
        <w:gridCol w:w="2174"/>
        <w:gridCol w:w="2174"/>
        <w:gridCol w:w="2174"/>
        <w:gridCol w:w="2459"/>
      </w:tblGrid>
      <w:tr>
        <w:trPr>
          <w:trHeight w:val="30" w:hRule="atLeast"/>
        </w:trPr>
        <w:tc>
          <w:tcPr>
            <w:tcW w:w="2975"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Размер полосы,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числе полос в пакете</w:t>
            </w:r>
          </w:p>
        </w:tc>
      </w:tr>
      <w:tr>
        <w:trPr>
          <w:trHeight w:val="30" w:hRule="atLeast"/>
        </w:trPr>
        <w:tc>
          <w:tcPr>
            <w:tcW w:w="0" w:type="auto"/>
            <w:vMerge/>
            <w:tcBorders>
              <w:top w:val="nil"/>
              <w:left w:val="single" w:color="cfcfcf" w:sz="8"/>
              <w:bottom w:val="single" w:color="cfcfcf" w:sz="8"/>
              <w:right w:val="single" w:color="cfcfcf" w:sz="8"/>
            </w:tcBorders>
          </w:tcP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1825</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3530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5225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6965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10340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13740</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2105</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4070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6035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11940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15885</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2395</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4615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6845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9060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13470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17955</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2660</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5125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7565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10040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14945</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19850</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2930</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5640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8330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11015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16420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21810</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3220</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6185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9155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12090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18050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23925</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3900</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7480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11075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14625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21810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28950</w:t>
            </w:r>
          </w:p>
        </w:tc>
      </w:tr>
      <w:tr>
        <w:trPr>
          <w:trHeight w:val="30" w:hRule="atLeast"/>
        </w:trPr>
        <w:tc>
          <w:tcPr>
            <w:tcW w:w="297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 х 10</w:t>
            </w:r>
          </w:p>
        </w:tc>
        <w:tc>
          <w:tcPr>
            <w:tcW w:w="19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4660</w:t>
            </w:r>
          </w:p>
        </w:tc>
        <w:tc>
          <w:tcPr>
            <w:tcW w:w="21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8940</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13205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17485</w:t>
            </w:r>
          </w:p>
        </w:tc>
        <w:tc>
          <w:tcPr>
            <w:tcW w:w="21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25990</w:t>
            </w:r>
          </w:p>
        </w:tc>
        <w:tc>
          <w:tcPr>
            <w:tcW w:w="245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34545</w:t>
            </w:r>
          </w:p>
        </w:tc>
      </w:tr>
    </w:tbl>
    <w:bookmarkEnd w:id="5476"/>
    <w:bookmarkStart w:name="637606932" w:id="5477"/>
    <w:p>
      <w:pPr>
        <w:spacing w:before="120" w:after="120" w:line="240"/>
        <w:ind w:left="0"/>
        <w:jc w:val="both"/>
      </w:pP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См. примечание к таблице 160.</w:t>
      </w:r>
    </w:p>
    <w:bookmarkEnd w:id="5477"/>
    <w:bookmarkStart w:name="637606933" w:id="5478"/>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токопроводов из двух алюминиевых прямоугольных шин</w:t>
      </w:r>
    </w:p>
    <w:bookmarkEnd w:id="5478"/>
    <w:bookmarkStart w:name="637606934" w:id="5479"/>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164</w:t>
      </w:r>
    </w:p>
    <w:bookmarkEnd w:id="5479"/>
    <w:bookmarkStart w:name="637606935" w:id="5480"/>
    <w:tbl>
      <w:tblPr>
        <w:tblW w:w="18660" w:type="auto"/>
        <w:tblCellSpacing w:w="0" w:type="auto"/>
        <w:tblBorders>
          <w:top w:val="none"/>
          <w:left w:val="none"/>
          <w:bottom w:val="none"/>
          <w:right w:val="none"/>
          <w:insideH w:val="none"/>
          <w:insideV w:val="none"/>
        </w:tblBorders>
        <w:tblLayout/>
      </w:tblPr>
      <w:tblGrid>
        <w:gridCol w:w="2816"/>
        <w:gridCol w:w="2192"/>
        <w:gridCol w:w="2192"/>
        <w:gridCol w:w="2192"/>
        <w:gridCol w:w="2192"/>
        <w:gridCol w:w="2192"/>
        <w:gridCol w:w="2224"/>
      </w:tblGrid>
      <w:tr>
        <w:trPr>
          <w:trHeight w:val="30" w:hRule="atLeast"/>
        </w:trPr>
        <w:tc>
          <w:tcPr>
            <w:tcW w:w="281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Ширина шины,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vMerge/>
            <w:tcBorders>
              <w:top w:val="nil"/>
              <w:left w:val="single" w:color="cfcfcf" w:sz="8"/>
              <w:bottom w:val="single" w:color="cfcfcf" w:sz="8"/>
              <w:right w:val="single" w:color="cfcfcf" w:sz="8"/>
            </w:tcBorders>
          </w:tcP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145</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355</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465</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1365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725</w:t>
            </w:r>
          </w:p>
        </w:tc>
      </w:tr>
      <w:tr>
        <w:trPr>
          <w:trHeight w:val="30" w:hRule="atLeast"/>
        </w:trPr>
        <w:tc>
          <w:tcPr>
            <w:tcW w:w="281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2040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1325</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1140</w:t>
            </w:r>
          </w:p>
        </w:tc>
        <w:tc>
          <w:tcPr>
            <w:tcW w:w="21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970</w:t>
            </w:r>
          </w:p>
        </w:tc>
        <w:tc>
          <w:tcPr>
            <w:tcW w:w="222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910</w:t>
            </w:r>
          </w:p>
        </w:tc>
      </w:tr>
    </w:tbl>
    <w:bookmarkEnd w:id="5480"/>
    <w:bookmarkStart w:name="637606936" w:id="54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481"/>
    <w:bookmarkStart w:name="637606937" w:id="54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 таблице 164 и 165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bookmarkEnd w:id="5482"/>
    <w:bookmarkStart w:name="637606938" w:id="54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Толщина шин токопроводов, допустимые длительные токи которых приведены в таблице 164 и 165,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p>
    <w:bookmarkEnd w:id="5483"/>
    <w:bookmarkStart w:name="637606939" w:id="54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Глубина проникновения тока и расчетная толщина алюминиевых шин в зависимости от частоты переменного тока равны:</w:t>
      </w:r>
    </w:p>
    <w:bookmarkEnd w:id="5484"/>
    <w:bookmarkStart w:name="637606940" w:id="5485"/>
    <w:tbl>
      <w:tblPr>
        <w:tblW w:w="18660" w:type="auto"/>
        <w:tblCellSpacing w:w="0" w:type="auto"/>
        <w:tblBorders>
          <w:top w:val="none"/>
          <w:left w:val="none"/>
          <w:bottom w:val="none"/>
          <w:right w:val="none"/>
          <w:insideH w:val="none"/>
          <w:insideV w:val="none"/>
        </w:tblBorders>
        <w:tblLayout/>
      </w:tblPr>
      <w:tblGrid>
        <w:gridCol w:w="7545"/>
        <w:gridCol w:w="1283"/>
        <w:gridCol w:w="1251"/>
        <w:gridCol w:w="1428"/>
        <w:gridCol w:w="1428"/>
        <w:gridCol w:w="1428"/>
        <w:gridCol w:w="1637"/>
      </w:tblGrid>
      <w:tr>
        <w:trPr>
          <w:trHeight w:val="30" w:hRule="atLeast"/>
        </w:trPr>
        <w:tc>
          <w:tcPr>
            <w:tcW w:w="75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Частота, Гц</w:t>
            </w:r>
          </w:p>
        </w:tc>
        <w:tc>
          <w:tcPr>
            <w:tcW w:w="1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2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16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75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Глубина проникновения тока, мм</w:t>
            </w:r>
          </w:p>
        </w:tc>
        <w:tc>
          <w:tcPr>
            <w:tcW w:w="1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w:t>
            </w:r>
          </w:p>
        </w:tc>
        <w:tc>
          <w:tcPr>
            <w:tcW w:w="12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1,06</w:t>
            </w:r>
          </w:p>
        </w:tc>
        <w:tc>
          <w:tcPr>
            <w:tcW w:w="16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0,95</w:t>
            </w:r>
          </w:p>
        </w:tc>
      </w:tr>
      <w:tr>
        <w:trPr>
          <w:trHeight w:val="30" w:hRule="atLeast"/>
        </w:trPr>
        <w:tc>
          <w:tcPr>
            <w:tcW w:w="754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Расчетная толщина шин, мм</w:t>
            </w:r>
          </w:p>
        </w:tc>
        <w:tc>
          <w:tcPr>
            <w:tcW w:w="128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5,04</w:t>
            </w:r>
          </w:p>
        </w:tc>
        <w:tc>
          <w:tcPr>
            <w:tcW w:w="125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3,60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2,28</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4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16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w:t>
            </w:r>
          </w:p>
        </w:tc>
      </w:tr>
    </w:tbl>
    <w:bookmarkEnd w:id="5485"/>
    <w:bookmarkStart w:name="637606941" w:id="5486"/>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токопроводов из двух медных прямоугольных шин</w:t>
      </w:r>
    </w:p>
    <w:bookmarkEnd w:id="5486"/>
    <w:bookmarkStart w:name="637606942" w:id="548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165</w:t>
      </w:r>
    </w:p>
    <w:bookmarkEnd w:id="5487"/>
    <w:bookmarkStart w:name="637606943" w:id="5488"/>
    <w:tbl>
      <w:tblPr>
        <w:tblW w:w="18660" w:type="auto"/>
        <w:tblCellSpacing w:w="0" w:type="auto"/>
        <w:tblBorders>
          <w:top w:val="none"/>
          <w:left w:val="none"/>
          <w:bottom w:val="none"/>
          <w:right w:val="none"/>
          <w:insideH w:val="none"/>
          <w:insideV w:val="none"/>
        </w:tblBorders>
        <w:tblLayout/>
      </w:tblPr>
      <w:tblGrid>
        <w:gridCol w:w="2758"/>
        <w:gridCol w:w="2153"/>
        <w:gridCol w:w="2153"/>
        <w:gridCol w:w="2154"/>
        <w:gridCol w:w="2154"/>
        <w:gridCol w:w="2154"/>
        <w:gridCol w:w="2474"/>
      </w:tblGrid>
      <w:tr>
        <w:trPr>
          <w:trHeight w:val="30" w:hRule="atLeast"/>
        </w:trPr>
        <w:tc>
          <w:tcPr>
            <w:tcW w:w="275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Ширина шины,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vMerge/>
            <w:tcBorders>
              <w:top w:val="nil"/>
              <w:left w:val="single" w:color="cfcfcf" w:sz="8"/>
              <w:bottom w:val="single" w:color="cfcfcf" w:sz="8"/>
              <w:right w:val="single" w:color="cfcfcf" w:sz="8"/>
            </w:tcBorders>
          </w:tcP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175</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420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1325</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1130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675</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630</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1420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785</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1860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1515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1060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845</w:t>
            </w:r>
          </w:p>
        </w:tc>
      </w:tr>
      <w:tr>
        <w:trPr>
          <w:trHeight w:val="30" w:hRule="atLeast"/>
        </w:trPr>
        <w:tc>
          <w:tcPr>
            <w:tcW w:w="275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2350</w:t>
            </w:r>
          </w:p>
        </w:tc>
        <w:tc>
          <w:tcPr>
            <w:tcW w:w="215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1920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1485</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1340</w:t>
            </w:r>
          </w:p>
        </w:tc>
        <w:tc>
          <w:tcPr>
            <w:tcW w:w="215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1140</w:t>
            </w:r>
          </w:p>
        </w:tc>
        <w:tc>
          <w:tcPr>
            <w:tcW w:w="24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1070</w:t>
            </w:r>
          </w:p>
        </w:tc>
      </w:tr>
    </w:tbl>
    <w:bookmarkEnd w:id="5488"/>
    <w:bookmarkStart w:name="637606944" w:id="54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Примечания:</w:t>
      </w:r>
    </w:p>
    <w:bookmarkEnd w:id="5489"/>
    <w:bookmarkStart w:name="637606945" w:id="54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См. примечания 1 и 2 к таблице 164.</w:t>
      </w:r>
    </w:p>
    <w:bookmarkEnd w:id="5490"/>
    <w:bookmarkStart w:name="637606946" w:id="54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Глубина проникновения тока и расчетная толщина медных шин в зависимости от частоты переменного тока следующие:</w:t>
      </w:r>
    </w:p>
    <w:bookmarkEnd w:id="5491"/>
    <w:bookmarkStart w:name="637606947" w:id="5492"/>
    <w:tbl>
      <w:tblPr>
        <w:tblW w:w="18660" w:type="auto"/>
        <w:tblCellSpacing w:w="0" w:type="auto"/>
        <w:tblBorders>
          <w:top w:val="none"/>
          <w:left w:val="none"/>
          <w:bottom w:val="none"/>
          <w:right w:val="none"/>
          <w:insideH w:val="none"/>
          <w:insideV w:val="none"/>
        </w:tblBorders>
        <w:tblLayout/>
      </w:tblPr>
      <w:tblGrid>
        <w:gridCol w:w="7498"/>
        <w:gridCol w:w="1321"/>
        <w:gridCol w:w="1339"/>
        <w:gridCol w:w="1339"/>
        <w:gridCol w:w="1339"/>
        <w:gridCol w:w="1339"/>
        <w:gridCol w:w="1825"/>
      </w:tblGrid>
      <w:tr>
        <w:trPr>
          <w:trHeight w:val="30" w:hRule="atLeast"/>
        </w:trPr>
        <w:tc>
          <w:tcPr>
            <w:tcW w:w="74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Частота, Гц..........................</w:t>
            </w:r>
          </w:p>
        </w:tc>
        <w:tc>
          <w:tcPr>
            <w:tcW w:w="13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18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74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Глубина проникновения тока, мм...............</w:t>
            </w:r>
          </w:p>
        </w:tc>
        <w:tc>
          <w:tcPr>
            <w:tcW w:w="13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1,19</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0,84</w:t>
            </w:r>
          </w:p>
        </w:tc>
        <w:tc>
          <w:tcPr>
            <w:tcW w:w="18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0,75</w:t>
            </w:r>
          </w:p>
        </w:tc>
      </w:tr>
      <w:tr>
        <w:trPr>
          <w:trHeight w:val="30" w:hRule="atLeast"/>
        </w:trPr>
        <w:tc>
          <w:tcPr>
            <w:tcW w:w="749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Расчетная толщина шин, мм</w:t>
            </w:r>
          </w:p>
        </w:tc>
        <w:tc>
          <w:tcPr>
            <w:tcW w:w="132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3,96</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2,88</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w:t>
            </w:r>
          </w:p>
        </w:tc>
        <w:tc>
          <w:tcPr>
            <w:tcW w:w="133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w:t>
            </w:r>
          </w:p>
        </w:tc>
        <w:tc>
          <w:tcPr>
            <w:tcW w:w="1825"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0,90</w:t>
            </w:r>
          </w:p>
        </w:tc>
      </w:tr>
    </w:tbl>
    <w:bookmarkEnd w:id="5492"/>
    <w:bookmarkStart w:name="637606948" w:id="5493"/>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токопроводов из двух алюминиевых концентрических труб</w:t>
      </w:r>
    </w:p>
    <w:bookmarkEnd w:id="5493"/>
    <w:bookmarkStart w:name="637606949" w:id="549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166</w:t>
      </w:r>
    </w:p>
    <w:bookmarkEnd w:id="5494"/>
    <w:bookmarkStart w:name="637606950" w:id="5495"/>
    <w:tbl>
      <w:tblPr>
        <w:tblW w:w="18660" w:type="auto"/>
        <w:tblCellSpacing w:w="0" w:type="auto"/>
        <w:tblBorders>
          <w:top w:val="none"/>
          <w:left w:val="none"/>
          <w:bottom w:val="none"/>
          <w:right w:val="none"/>
          <w:insideH w:val="none"/>
          <w:insideV w:val="none"/>
        </w:tblBorders>
        <w:tblLayout/>
      </w:tblPr>
      <w:tblGrid>
        <w:gridCol w:w="587"/>
        <w:gridCol w:w="603"/>
        <w:gridCol w:w="2397"/>
        <w:gridCol w:w="59"/>
        <w:gridCol w:w="2245"/>
        <w:gridCol w:w="55"/>
        <w:gridCol w:w="2245"/>
        <w:gridCol w:w="55"/>
        <w:gridCol w:w="2246"/>
        <w:gridCol w:w="55"/>
        <w:gridCol w:w="2246"/>
        <w:gridCol w:w="55"/>
        <w:gridCol w:w="2246"/>
        <w:gridCol w:w="906"/>
      </w:tblGrid>
      <w:tr>
        <w:trPr>
          <w:trHeight w:val="30" w:hRule="atLeast"/>
        </w:trPr>
        <w:tc>
          <w:tcPr>
            <w:tcW w:w="0" w:type="auto"/>
            <w:gridSpan w:val="3"/>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Наружный диаметр трубы, мм</w:t>
            </w:r>
          </w:p>
        </w:tc>
        <w:tc>
          <w:tcPr>
            <w:tcW w:w="0" w:type="auto"/>
            <w:gridSpan w:val="11"/>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gridSpan w:val="3"/>
            <w:vMerge/>
            <w:tcBorders>
              <w:top w:val="nil"/>
              <w:left w:val="single" w:color="cfcfcf" w:sz="8"/>
              <w:bottom w:val="single" w:color="cfcfcf" w:sz="8"/>
              <w:right w:val="single" w:color="cfcfcf" w:sz="8"/>
            </w:tcBorders>
          </w:tcP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906"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внешней</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внутренней</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1095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590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495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865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1755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1425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745</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930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1210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1590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22220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1865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1020</w:t>
            </w:r>
          </w:p>
        </w:tc>
      </w:tr>
      <w:tr>
        <w:trPr>
          <w:trHeight w:val="30" w:hRule="atLeast"/>
        </w:trPr>
        <w:tc>
          <w:tcPr>
            <w:tcW w:w="587" w:type="dxa"/>
            <w:tcBorders>
              <w:top w:val="single" w:color="cfcfcf" w:sz="8"/>
              <w:left w:val="single" w:color="cfcfcf" w:sz="8"/>
              <w:bottom w:val="single" w:color="cfcfcf" w:sz="8"/>
              <w:right w:val="single" w:color="cfcfcf" w:sz="8"/>
            </w:tcBorders>
            <w:vAlign w:val="center"/>
          </w:tcPr>
          <w:p>
            <w:pPr>
              <w:spacing w:after="0"/>
              <w:ind w:left="0"/>
              <w:jc w:val="left"/>
            </w:pPr>
          </w:p>
        </w:tc>
        <w:tc>
          <w:tcPr>
            <w:tcW w:w="60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1685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1320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930</w:t>
            </w:r>
          </w:p>
        </w:tc>
      </w:tr>
    </w:tbl>
    <w:bookmarkEnd w:id="5495"/>
    <w:bookmarkStart w:name="637606951" w:id="54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В таблице 166 и 167 токи приведены для неокрашенных труб с толщиной стенок 10 мм.</w:t>
      </w:r>
    </w:p>
    <w:bookmarkEnd w:id="5496"/>
    <w:bookmarkStart w:name="637606952" w:id="5497"/>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токопроводов из двух медных концентрических труб1</w:t>
      </w:r>
    </w:p>
    <w:bookmarkEnd w:id="5497"/>
    <w:bookmarkStart w:name="637606953" w:id="549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167</w:t>
      </w:r>
    </w:p>
    <w:bookmarkEnd w:id="5498"/>
    <w:bookmarkStart w:name="637606954" w:id="5499"/>
    <w:tbl>
      <w:tblPr>
        <w:tblW w:w="18660" w:type="auto"/>
        <w:tblCellSpacing w:w="0" w:type="auto"/>
        <w:tblBorders>
          <w:top w:val="none"/>
          <w:left w:val="none"/>
          <w:bottom w:val="none"/>
          <w:right w:val="none"/>
          <w:insideH w:val="none"/>
          <w:insideV w:val="none"/>
        </w:tblBorders>
        <w:tblLayout/>
      </w:tblPr>
      <w:tblGrid>
        <w:gridCol w:w="1912"/>
        <w:gridCol w:w="2590"/>
        <w:gridCol w:w="1902"/>
        <w:gridCol w:w="1868"/>
        <w:gridCol w:w="1868"/>
        <w:gridCol w:w="2089"/>
        <w:gridCol w:w="1869"/>
        <w:gridCol w:w="1902"/>
      </w:tblGrid>
      <w:tr>
        <w:trPr>
          <w:trHeight w:val="30" w:hRule="atLeast"/>
        </w:trPr>
        <w:tc>
          <w:tcPr>
            <w:tcW w:w="0" w:type="auto"/>
            <w:gridSpan w:val="2"/>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Наружный диаметр трубы, мм</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gridSpan w:val="2"/>
            <w:vMerge/>
            <w:tcBorders>
              <w:top w:val="nil"/>
              <w:left w:val="single" w:color="cfcfcf" w:sz="8"/>
              <w:bottom w:val="single" w:color="cfcfcf" w:sz="8"/>
              <w:right w:val="single" w:color="cfcfcf" w:sz="8"/>
            </w:tcBorders>
          </w:tcPr>
          <w:p/>
        </w:tc>
        <w:tc>
          <w:tcPr>
            <w:tcW w:w="19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186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186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208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186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190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внешней</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внутренней</w:t>
            </w: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1530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1010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715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670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565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535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540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1240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1120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945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1480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865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730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690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12250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615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580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2190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1810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1430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1020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1690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795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1460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1210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830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715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2420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1415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1190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1130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1915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1115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890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1620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810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2670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1740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1565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2130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1765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1395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1245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995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1880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1230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1095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925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875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2910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2380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1910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1470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1365</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2360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1535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1315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1160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1740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1375</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1225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1035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980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3220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2655</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2090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1865</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1580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1490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2560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2130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1680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1270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1200</w:t>
            </w:r>
          </w:p>
        </w:tc>
      </w:tr>
      <w:tr>
        <w:trPr>
          <w:trHeight w:val="30" w:hRule="atLeast"/>
        </w:trPr>
        <w:tc>
          <w:tcPr>
            <w:tcW w:w="1912" w:type="dxa"/>
            <w:tcBorders>
              <w:top w:val="single" w:color="cfcfcf" w:sz="8"/>
              <w:left w:val="single" w:color="cfcfcf" w:sz="8"/>
              <w:bottom w:val="single" w:color="cfcfcf" w:sz="8"/>
              <w:right w:val="single" w:color="cfcfcf" w:sz="8"/>
            </w:tcBorders>
            <w:vAlign w:val="center"/>
          </w:tcPr>
          <w:p>
            <w:pPr>
              <w:spacing w:after="0"/>
              <w:ind w:left="0"/>
              <w:jc w:val="left"/>
            </w:pPr>
          </w:p>
        </w:tc>
        <w:tc>
          <w:tcPr>
            <w:tcW w:w="259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2310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1900</w:t>
            </w:r>
          </w:p>
        </w:tc>
        <w:tc>
          <w:tcPr>
            <w:tcW w:w="18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1500</w:t>
            </w:r>
          </w:p>
        </w:tc>
        <w:tc>
          <w:tcPr>
            <w:tcW w:w="208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1340</w:t>
            </w:r>
          </w:p>
        </w:tc>
        <w:tc>
          <w:tcPr>
            <w:tcW w:w="18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1135</w:t>
            </w:r>
          </w:p>
        </w:tc>
        <w:tc>
          <w:tcPr>
            <w:tcW w:w="19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1070</w:t>
            </w:r>
          </w:p>
        </w:tc>
      </w:tr>
    </w:tbl>
    <w:bookmarkEnd w:id="5499"/>
    <w:bookmarkStart w:name="637606955" w:id="5500"/>
    <w:p>
      <w:pPr>
        <w:spacing w:before="120" w:after="120" w:line="240"/>
        <w:ind w:left="0"/>
        <w:jc w:val="both"/>
      </w:pPr>
      <w:r>
        <w:rPr>
          <w:b w:val="false"/>
          <w:i w:val="false"/>
          <w:color w:val="000000"/>
          <w:sz w:val="24"/>
        </w:rPr>
        <w:t> </w:t>
      </w:r>
      <w:r>
        <w:br/>
      </w:r>
      <w:r>
        <w:rPr>
          <w:b w:val="false"/>
          <w:i w:val="false"/>
          <w:color w:val="000000"/>
          <w:sz w:val="24"/>
        </w:rPr>
        <w:t xml:space="preserve">
 </w:t>
      </w:r>
      <w:r>
        <w:rPr>
          <w:b w:val="false"/>
          <w:i w:val="false"/>
          <w:color w:val="000000"/>
          <w:vertAlign w:val="superscript"/>
        </w:rPr>
        <w:t>1</w:t>
      </w:r>
      <w:r>
        <w:rPr>
          <w:b w:val="false"/>
          <w:i w:val="false"/>
          <w:color w:val="000000"/>
          <w:sz w:val="24"/>
        </w:rPr>
        <w:t xml:space="preserve"> См. примечание к таблице 166.</w:t>
      </w:r>
    </w:p>
    <w:bookmarkEnd w:id="5500"/>
    <w:bookmarkStart w:name="637606956" w:id="5501"/>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кабелей марки АСГ на напряжение 1 кВ</w:t>
      </w:r>
    </w:p>
    <w:bookmarkEnd w:id="5501"/>
    <w:bookmarkStart w:name="637606957" w:id="550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168</w:t>
      </w:r>
    </w:p>
    <w:bookmarkEnd w:id="5502"/>
    <w:bookmarkStart w:name="637606958" w:id="5503"/>
    <w:tbl>
      <w:tblPr>
        <w:tblW w:w="18660" w:type="auto"/>
        <w:tblCellSpacing w:w="0" w:type="auto"/>
        <w:tblBorders>
          <w:top w:val="none"/>
          <w:left w:val="none"/>
          <w:bottom w:val="none"/>
          <w:right w:val="none"/>
          <w:insideH w:val="none"/>
          <w:insideV w:val="none"/>
        </w:tblBorders>
        <w:tblLayout/>
      </w:tblPr>
      <w:tblGrid>
        <w:gridCol w:w="3492"/>
        <w:gridCol w:w="2002"/>
        <w:gridCol w:w="2033"/>
        <w:gridCol w:w="2034"/>
        <w:gridCol w:w="2034"/>
        <w:gridCol w:w="2034"/>
        <w:gridCol w:w="2371"/>
      </w:tblGrid>
      <w:tr>
        <w:trPr>
          <w:trHeight w:val="30" w:hRule="atLeast"/>
        </w:trPr>
        <w:tc>
          <w:tcPr>
            <w:tcW w:w="349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токопроводящих жил,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vMerge/>
            <w:tcBorders>
              <w:top w:val="nil"/>
              <w:left w:val="single" w:color="cfcfcf" w:sz="8"/>
              <w:bottom w:val="single" w:color="cfcfcf" w:sz="8"/>
              <w:right w:val="single" w:color="cfcfcf" w:sz="8"/>
            </w:tcBorders>
          </w:tcP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25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66</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35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84</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62</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70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95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120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150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25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35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70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95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120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185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240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50 + 1 х 25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70 + 1 х 35</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95 + 1 х 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335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120 + 1 х 50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150 + 1 х 70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415</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r>
      <w:tr>
        <w:trPr>
          <w:trHeight w:val="30" w:hRule="atLeast"/>
        </w:trPr>
        <w:tc>
          <w:tcPr>
            <w:tcW w:w="349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185 + 1 х 70</w:t>
            </w:r>
          </w:p>
        </w:tc>
        <w:tc>
          <w:tcPr>
            <w:tcW w:w="200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450</w:t>
            </w:r>
          </w:p>
        </w:tc>
        <w:tc>
          <w:tcPr>
            <w:tcW w:w="203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255</w:t>
            </w:r>
          </w:p>
        </w:tc>
        <w:tc>
          <w:tcPr>
            <w:tcW w:w="20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237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r>
    </w:tbl>
    <w:bookmarkEnd w:id="5503"/>
    <w:bookmarkStart w:name="637606959" w:id="5504"/>
    <w:p>
      <w:pPr>
        <w:spacing w:before="120" w:after="120" w:line="240"/>
        <w:ind w:left="0"/>
        <w:jc w:val="both"/>
      </w:pPr>
      <w:r>
        <w:rPr>
          <w:rFonts w:hint="default" w:ascii="Times New Roman" w:hAnsi="Times New Roman"/>
          <w:b/>
          <w:i w:val="false"/>
          <w:color w:val="000000"/>
          <w:sz w:val="24"/>
        </w:rPr>
        <w:t>Допустимый длительный ток повышенной – средней частоты кабелей марки СГ на напряжение 1 кВ</w:t>
      </w:r>
    </w:p>
    <w:bookmarkEnd w:id="5504"/>
    <w:bookmarkStart w:name="637606960" w:id="5505"/>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169</w:t>
      </w:r>
    </w:p>
    <w:bookmarkEnd w:id="5505"/>
    <w:bookmarkStart w:name="637606961" w:id="5506"/>
    <w:tbl>
      <w:tblPr>
        <w:tblW w:w="18660" w:type="auto"/>
        <w:tblCellSpacing w:w="0" w:type="auto"/>
        <w:tblBorders>
          <w:top w:val="none"/>
          <w:left w:val="none"/>
          <w:bottom w:val="none"/>
          <w:right w:val="none"/>
          <w:insideH w:val="none"/>
          <w:insideV w:val="none"/>
        </w:tblBorders>
        <w:tblLayout/>
      </w:tblPr>
      <w:tblGrid>
        <w:gridCol w:w="3628"/>
        <w:gridCol w:w="1982"/>
        <w:gridCol w:w="2014"/>
        <w:gridCol w:w="2014"/>
        <w:gridCol w:w="2014"/>
        <w:gridCol w:w="2014"/>
        <w:gridCol w:w="2334"/>
      </w:tblGrid>
      <w:tr>
        <w:trPr>
          <w:trHeight w:val="30" w:hRule="atLeast"/>
        </w:trPr>
        <w:tc>
          <w:tcPr>
            <w:tcW w:w="362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Сечение токопроводящих жил, мм</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Ток, А, при частоте, Гц</w:t>
            </w:r>
          </w:p>
        </w:tc>
      </w:tr>
      <w:tr>
        <w:trPr>
          <w:trHeight w:val="30" w:hRule="atLeast"/>
        </w:trPr>
        <w:tc>
          <w:tcPr>
            <w:tcW w:w="0" w:type="auto"/>
            <w:vMerge/>
            <w:tcBorders>
              <w:top w:val="nil"/>
              <w:left w:val="single" w:color="cfcfcf" w:sz="8"/>
              <w:bottom w:val="single" w:color="cfcfcf" w:sz="8"/>
              <w:right w:val="single" w:color="cfcfcf" w:sz="8"/>
            </w:tcBorders>
          </w:tcP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4000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8000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10000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25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76</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57</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35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86</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96</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72</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70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95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120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 х 150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25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35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159</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85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70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170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95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95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110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120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145</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185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240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375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50 + 1 х 25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130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70 + 1 х 35</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265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155</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95 + 1 х 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325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190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180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120 + 1 х 50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280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210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150 + 1 х 70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470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385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275</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230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220</w:t>
            </w:r>
          </w:p>
        </w:tc>
      </w:tr>
      <w:tr>
        <w:trPr>
          <w:trHeight w:val="30" w:hRule="atLeast"/>
        </w:trPr>
        <w:tc>
          <w:tcPr>
            <w:tcW w:w="362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 х 185 + 1 х 70</w:t>
            </w:r>
          </w:p>
        </w:tc>
        <w:tc>
          <w:tcPr>
            <w:tcW w:w="198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510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430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340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300</w:t>
            </w:r>
          </w:p>
        </w:tc>
        <w:tc>
          <w:tcPr>
            <w:tcW w:w="201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c>
          <w:tcPr>
            <w:tcW w:w="233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240</w:t>
            </w:r>
          </w:p>
        </w:tc>
      </w:tr>
    </w:tbl>
    <w:bookmarkEnd w:id="5506"/>
    <w:bookmarkStart w:name="637606962" w:id="5507"/>
    <w:p>
      <w:pPr>
        <w:spacing w:before="120" w:after="120" w:line="240"/>
        <w:ind w:left="0"/>
        <w:jc w:val="both"/>
      </w:pPr>
      <w:r>
        <w:rPr>
          <w:rFonts w:hint="default" w:ascii="Times New Roman" w:hAnsi="Times New Roman"/>
          <w:b/>
          <w:i w:val="false"/>
          <w:color w:val="000000"/>
          <w:sz w:val="24"/>
        </w:rPr>
        <w:t>Сопротивление изоляции токопроводов вторичных токоподводов</w:t>
      </w:r>
    </w:p>
    <w:bookmarkEnd w:id="5507"/>
    <w:bookmarkStart w:name="637606963" w:id="5508"/>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170</w:t>
      </w:r>
    </w:p>
    <w:bookmarkEnd w:id="5508"/>
    <w:bookmarkStart w:name="637606964" w:id="5509"/>
    <w:tbl>
      <w:tblPr>
        <w:tblW w:w="18660" w:type="auto"/>
        <w:tblCellSpacing w:w="0" w:type="auto"/>
        <w:tblBorders>
          <w:top w:val="none"/>
          <w:left w:val="none"/>
          <w:bottom w:val="none"/>
          <w:right w:val="none"/>
          <w:insideH w:val="none"/>
          <w:insideV w:val="none"/>
        </w:tblBorders>
        <w:tblLayout/>
      </w:tblPr>
      <w:tblGrid>
        <w:gridCol w:w="6022"/>
        <w:gridCol w:w="1460"/>
        <w:gridCol w:w="2808"/>
        <w:gridCol w:w="2822"/>
        <w:gridCol w:w="2888"/>
      </w:tblGrid>
      <w:tr>
        <w:trPr>
          <w:trHeight w:val="30" w:hRule="atLeast"/>
        </w:trPr>
        <w:tc>
          <w:tcPr>
            <w:tcW w:w="6022"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Мощность электропечи или электронагревательного устройства, МВ•А</w:t>
            </w:r>
          </w:p>
        </w:tc>
        <w:tc>
          <w:tcPr>
            <w:tcW w:w="0" w:type="auto"/>
            <w:gridSpan w:val="4"/>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Наименьшее сопротивление изоляции</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1</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 кОм, для токопроводов</w:t>
            </w:r>
          </w:p>
        </w:tc>
      </w:tr>
      <w:tr>
        <w:trPr>
          <w:trHeight w:val="30" w:hRule="atLeast"/>
        </w:trPr>
        <w:tc>
          <w:tcPr>
            <w:tcW w:w="0" w:type="auto"/>
            <w:vMerge/>
            <w:tcBorders>
              <w:top w:val="nil"/>
              <w:left w:val="single" w:color="cfcfcf" w:sz="8"/>
              <w:bottom w:val="single" w:color="cfcfcf" w:sz="8"/>
              <w:right w:val="single" w:color="cfcfcf" w:sz="8"/>
            </w:tcBorders>
          </w:tcPr>
          <w:p/>
        </w:tc>
        <w:tc>
          <w:tcPr>
            <w:tcW w:w="14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 кВ</w:t>
            </w:r>
          </w:p>
        </w:tc>
        <w:tc>
          <w:tcPr>
            <w:tcW w:w="2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 до 1,6 кВ</w:t>
            </w:r>
          </w:p>
        </w:tc>
        <w:tc>
          <w:tcPr>
            <w:tcW w:w="28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1,6 до 3 кВ</w:t>
            </w:r>
          </w:p>
        </w:tc>
        <w:tc>
          <w:tcPr>
            <w:tcW w:w="28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3 до 15 кВ</w:t>
            </w:r>
          </w:p>
        </w:tc>
      </w:tr>
      <w:tr>
        <w:trPr>
          <w:trHeight w:val="30" w:hRule="atLeast"/>
        </w:trPr>
        <w:tc>
          <w:tcPr>
            <w:tcW w:w="60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5</w:t>
            </w:r>
          </w:p>
        </w:tc>
        <w:tc>
          <w:tcPr>
            <w:tcW w:w="14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28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c>
          <w:tcPr>
            <w:tcW w:w="28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w:t>
            </w:r>
          </w:p>
        </w:tc>
      </w:tr>
      <w:tr>
        <w:trPr>
          <w:trHeight w:val="30" w:hRule="atLeast"/>
        </w:trPr>
        <w:tc>
          <w:tcPr>
            <w:tcW w:w="60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5 до 25</w:t>
            </w:r>
          </w:p>
        </w:tc>
        <w:tc>
          <w:tcPr>
            <w:tcW w:w="14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w:t>
            </w:r>
          </w:p>
        </w:tc>
        <w:tc>
          <w:tcPr>
            <w:tcW w:w="28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w:t>
            </w:r>
          </w:p>
        </w:tc>
        <w:tc>
          <w:tcPr>
            <w:tcW w:w="28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250</w:t>
            </w:r>
          </w:p>
        </w:tc>
      </w:tr>
      <w:tr>
        <w:trPr>
          <w:trHeight w:val="30" w:hRule="atLeast"/>
        </w:trPr>
        <w:tc>
          <w:tcPr>
            <w:tcW w:w="60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Более 25</w:t>
            </w:r>
          </w:p>
        </w:tc>
        <w:tc>
          <w:tcPr>
            <w:tcW w:w="146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80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c>
          <w:tcPr>
            <w:tcW w:w="2822"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288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bl>
    <w:bookmarkEnd w:id="5509"/>
    <w:bookmarkStart w:name="637606965" w:id="5510"/>
    <w:p>
      <w:pPr>
        <w:spacing w:before="120" w:after="120" w:line="240"/>
        <w:ind w:left="0"/>
        <w:jc w:val="both"/>
      </w:pPr>
      <w:r>
        <w:rPr>
          <w:b w:val="false"/>
          <w:i w:val="false"/>
          <w:color w:val="000000"/>
          <w:sz w:val="24"/>
        </w:rPr>
        <w:t> </w:t>
      </w:r>
      <w:r>
        <w:br/>
      </w:r>
      <w:r>
        <w:rPr>
          <w:b w:val="false"/>
          <w:i w:val="false"/>
          <w:color w:val="000000"/>
          <w:sz w:val="24"/>
        </w:rPr>
        <w:t xml:space="preserve">
 </w:t>
      </w:r>
      <w:r>
        <w:rPr>
          <w:b w:val="false"/>
          <w:i w:val="false"/>
          <w:color w:val="000000"/>
          <w:vertAlign w:val="superscript"/>
        </w:rPr>
        <w:t>1</w:t>
      </w:r>
      <w:r>
        <w:rPr>
          <w:b w:val="false"/>
          <w:i w:val="false"/>
          <w:color w:val="000000"/>
          <w:sz w:val="24"/>
        </w:rPr>
        <w:t xml:space="preserve"> 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при поднятых электродах печи при снятых шлангах системы водяного охлаждения.</w:t>
      </w:r>
    </w:p>
    <w:bookmarkEnd w:id="5510"/>
    <w:bookmarkStart w:name="637606966" w:id="5511"/>
    <w:p>
      <w:pPr>
        <w:spacing w:before="120" w:after="120" w:line="240"/>
        <w:ind w:left="0"/>
        <w:jc w:val="both"/>
      </w:pPr>
      <w:r>
        <w:rPr>
          <w:rFonts w:hint="default" w:ascii="Times New Roman" w:hAnsi="Times New Roman"/>
          <w:b/>
          <w:i w:val="false"/>
          <w:color w:val="000000"/>
          <w:sz w:val="24"/>
        </w:rPr>
        <w:t>Наименьшее расстояние в свету между шинами токопровода вторичного токоподвода</w:t>
      </w:r>
      <w:r>
        <w:rPr>
          <w:rFonts w:hint="default" w:ascii="Times New Roman" w:hAnsi="Times New Roman"/>
          <w:b/>
          <w:i w:val="false"/>
          <w:color w:val="000000"/>
        </w:rPr>
        <w:t>1</w:t>
      </w:r>
    </w:p>
    <w:bookmarkEnd w:id="5511"/>
    <w:bookmarkStart w:name="637606967" w:id="5512"/>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171</w:t>
      </w:r>
    </w:p>
    <w:bookmarkEnd w:id="5512"/>
    <w:bookmarkStart w:name="637606968" w:id="5513"/>
    <w:tbl>
      <w:tblPr>
        <w:tblW w:w="18660" w:type="auto"/>
        <w:tblCellSpacing w:w="0" w:type="auto"/>
        <w:tblBorders>
          <w:top w:val="none"/>
          <w:left w:val="none"/>
          <w:bottom w:val="none"/>
          <w:right w:val="none"/>
          <w:insideH w:val="none"/>
          <w:insideV w:val="none"/>
        </w:tblBorders>
        <w:tblLayout/>
      </w:tblPr>
      <w:tblGrid>
        <w:gridCol w:w="567"/>
        <w:gridCol w:w="537"/>
        <w:gridCol w:w="1119"/>
        <w:gridCol w:w="540"/>
        <w:gridCol w:w="974"/>
        <w:gridCol w:w="999"/>
        <w:gridCol w:w="1026"/>
        <w:gridCol w:w="9197"/>
        <w:gridCol w:w="1041"/>
      </w:tblGrid>
      <w:tr>
        <w:trPr>
          <w:trHeight w:val="30" w:hRule="atLeast"/>
        </w:trPr>
        <w:tc>
          <w:tcPr>
            <w:tcW w:w="56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Помещение, в котором прокладывается токопровод</w:t>
            </w:r>
          </w:p>
        </w:tc>
        <w:tc>
          <w:tcPr>
            <w:tcW w:w="0" w:type="auto"/>
            <w:gridSpan w:val="8"/>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Расстояние, мм, в зависимости от рода тока, частоты и напряжения токопроводов</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Постоянный</w:t>
            </w:r>
          </w:p>
        </w:tc>
        <w:tc>
          <w:tcPr>
            <w:tcW w:w="0" w:type="auto"/>
            <w:gridSpan w:val="6"/>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Переменный</w:t>
            </w:r>
          </w:p>
        </w:tc>
      </w:tr>
      <w:tr>
        <w:trPr>
          <w:trHeight w:val="30" w:hRule="atLeast"/>
        </w:trPr>
        <w:tc>
          <w:tcPr>
            <w:tcW w:w="0" w:type="auto"/>
            <w:vMerge/>
            <w:tcBorders>
              <w:top w:val="nil"/>
              <w:left w:val="single" w:color="cfcfcf" w:sz="8"/>
              <w:bottom w:val="single" w:color="cfcfcf" w:sz="8"/>
              <w:right w:val="single" w:color="cfcfcf" w:sz="8"/>
            </w:tcBorders>
          </w:tcPr>
          <w:p/>
        </w:tc>
        <w:tc>
          <w:tcPr>
            <w:tcW w:w="537"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 кВ</w:t>
            </w:r>
          </w:p>
        </w:tc>
        <w:tc>
          <w:tcPr>
            <w:tcW w:w="1119"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 до 3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 Гц</w:t>
            </w:r>
          </w:p>
        </w:tc>
        <w:tc>
          <w:tcPr>
            <w:tcW w:w="0" w:type="auto"/>
            <w:gridSpan w:val="3"/>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500–10000 Гц</w:t>
            </w:r>
          </w:p>
        </w:tc>
        <w:tc>
          <w:tcPr>
            <w:tcW w:w="1041"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10000 Гц</w:t>
            </w:r>
          </w:p>
        </w:tc>
      </w:tr>
      <w:tr>
        <w:trPr>
          <w:trHeight w:val="30" w:hRule="atLeast"/>
        </w:trPr>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0" w:type="auto"/>
            <w:vMerge/>
            <w:tcBorders>
              <w:top w:val="nil"/>
              <w:left w:val="single" w:color="cfcfcf" w:sz="8"/>
              <w:bottom w:val="single" w:color="cfcfcf" w:sz="8"/>
              <w:right w:val="single" w:color="cfcfcf" w:sz="8"/>
            </w:tcBorders>
          </w:tcPr>
          <w:p/>
        </w:tc>
        <w:tc>
          <w:tcPr>
            <w:tcW w:w="5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 кВ</w:t>
            </w: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 до 3 кВ</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1,6 кВ</w:t>
            </w:r>
          </w:p>
        </w:tc>
        <w:tc>
          <w:tcPr>
            <w:tcW w:w="10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выше 1,6 до 3 кВ</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до 15 кВ</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Сухое непыльное</w:t>
            </w:r>
          </w:p>
        </w:tc>
        <w:tc>
          <w:tcPr>
            <w:tcW w:w="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12</w:t>
            </w:r>
          </w:p>
        </w:tc>
        <w:tc>
          <w:tcPr>
            <w:tcW w:w="11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20–130</w:t>
            </w:r>
          </w:p>
        </w:tc>
        <w:tc>
          <w:tcPr>
            <w:tcW w:w="5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20–30</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15–20</w:t>
            </w:r>
          </w:p>
        </w:tc>
        <w:tc>
          <w:tcPr>
            <w:tcW w:w="10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20–30</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30–140</w:t>
            </w:r>
          </w:p>
        </w:tc>
      </w:tr>
      <w:tr>
        <w:trPr>
          <w:trHeight w:val="30" w:hRule="atLeast"/>
        </w:trPr>
        <w:tc>
          <w:tcPr>
            <w:tcW w:w="56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Сухое пыльное</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2</w:t>
            </w:r>
          </w:p>
        </w:tc>
        <w:tc>
          <w:tcPr>
            <w:tcW w:w="537"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16</w:t>
            </w:r>
          </w:p>
        </w:tc>
        <w:tc>
          <w:tcPr>
            <w:tcW w:w="111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30–150</w:t>
            </w:r>
          </w:p>
        </w:tc>
        <w:tc>
          <w:tcPr>
            <w:tcW w:w="540"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w:t>
            </w:r>
          </w:p>
        </w:tc>
        <w:tc>
          <w:tcPr>
            <w:tcW w:w="974"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25–35</w:t>
            </w:r>
          </w:p>
        </w:tc>
        <w:tc>
          <w:tcPr>
            <w:tcW w:w="99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20–25</w:t>
            </w:r>
          </w:p>
        </w:tc>
        <w:tc>
          <w:tcPr>
            <w:tcW w:w="1026"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25–35</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35–150</w:t>
            </w:r>
          </w:p>
        </w:tc>
      </w:tr>
    </w:tbl>
    <w:bookmarkEnd w:id="5513"/>
    <w:bookmarkStart w:name="637606969" w:id="5514"/>
    <w:p>
      <w:pPr>
        <w:spacing w:before="120" w:after="120" w:line="240"/>
        <w:ind w:left="0"/>
        <w:jc w:val="both"/>
      </w:pPr>
      <w:r>
        <w:rPr>
          <w:rFonts w:hint="default" w:ascii="Times New Roman" w:hAnsi="Times New Roman"/>
          <w:b w:val="false"/>
          <w:i w:val="false"/>
          <w:color w:val="000000"/>
          <w:vertAlign w:val="superscript"/>
        </w:rPr>
        <w:t>1</w:t>
      </w:r>
      <w:r>
        <w:rPr>
          <w:rFonts w:hint="default" w:ascii="Times New Roman" w:hAnsi="Times New Roman"/>
          <w:b w:val="false"/>
          <w:i w:val="false"/>
          <w:color w:val="000000"/>
          <w:sz w:val="24"/>
        </w:rPr>
        <w:t xml:space="preserve"> При высоте шины до 250 мм; при большей высоте расстояние должно быть увеличено на 5–10 мм.</w:t>
      </w:r>
    </w:p>
    <w:bookmarkEnd w:id="5514"/>
    <w:bookmarkStart w:name="637606970" w:id="5515"/>
    <w:p>
      <w:pPr>
        <w:spacing w:before="120" w:after="120" w:line="240"/>
        <w:ind w:left="0"/>
        <w:jc w:val="both"/>
      </w:pPr>
      <w:r>
        <w:rPr>
          <w:rFonts w:hint="default" w:ascii="Times New Roman" w:hAnsi="Times New Roman"/>
          <w:b w:val="false"/>
          <w:i w:val="false"/>
          <w:color w:val="000000"/>
          <w:vertAlign w:val="superscript"/>
        </w:rPr>
        <w:t>2</w:t>
      </w:r>
      <w:r>
        <w:rPr>
          <w:rFonts w:hint="default" w:ascii="Times New Roman" w:hAnsi="Times New Roman"/>
          <w:b w:val="false"/>
          <w:i w:val="false"/>
          <w:color w:val="000000"/>
          <w:sz w:val="24"/>
        </w:rPr>
        <w:t xml:space="preserve"> Пыль непроводящая.</w:t>
      </w:r>
    </w:p>
    <w:bookmarkEnd w:id="5515"/>
    <w:bookmarkStart w:name="637606971" w:id="5516"/>
    <w:p>
      <w:pPr>
        <w:spacing w:before="120" w:after="120" w:line="240"/>
        <w:ind w:left="0"/>
        <w:jc w:val="both"/>
      </w:pPr>
      <w:r>
        <w:rPr>
          <w:rFonts w:hint="default" w:ascii="Times New Roman" w:hAnsi="Times New Roman"/>
          <w:b/>
          <w:i w:val="false"/>
          <w:color w:val="000000"/>
          <w:sz w:val="24"/>
        </w:rPr>
        <w:t>Характеристика воды для охлаждения элементовж электротермических установок</w:t>
      </w:r>
    </w:p>
    <w:bookmarkEnd w:id="5516"/>
    <w:bookmarkStart w:name="637606972" w:id="5517"/>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 172</w:t>
      </w:r>
    </w:p>
    <w:bookmarkEnd w:id="5517"/>
    <w:bookmarkStart w:name="637606973" w:id="5518"/>
    <w:tbl>
      <w:tblPr>
        <w:tblW w:w="18660" w:type="auto"/>
        <w:tblCellSpacing w:w="0" w:type="auto"/>
        <w:tblBorders>
          <w:top w:val="none"/>
          <w:left w:val="none"/>
          <w:bottom w:val="none"/>
          <w:right w:val="none"/>
          <w:insideH w:val="none"/>
          <w:insideV w:val="none"/>
        </w:tblBorders>
        <w:tblLayout/>
      </w:tblPr>
      <w:tblGrid>
        <w:gridCol w:w="7968"/>
        <w:gridCol w:w="4063"/>
        <w:gridCol w:w="3969"/>
      </w:tblGrid>
      <w:tr>
        <w:trPr>
          <w:trHeight w:val="30" w:hRule="atLeast"/>
        </w:trPr>
        <w:tc>
          <w:tcPr>
            <w:tcW w:w="7968" w:type="dxa"/>
            <w:vMerge w:val="restart"/>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Показатель</w:t>
            </w:r>
          </w:p>
        </w:tc>
        <w:tc>
          <w:tcPr>
            <w:tcW w:w="0" w:type="auto"/>
            <w:gridSpan w:val="2"/>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Вид сети-источника водоснабжения</w:t>
            </w:r>
          </w:p>
        </w:tc>
      </w:tr>
      <w:tr>
        <w:trPr>
          <w:trHeight w:val="30" w:hRule="atLeast"/>
        </w:trPr>
        <w:tc>
          <w:tcPr>
            <w:tcW w:w="0" w:type="auto"/>
            <w:vMerge/>
            <w:tcBorders>
              <w:top w:val="nil"/>
              <w:left w:val="single" w:color="cfcfcf" w:sz="8"/>
              <w:bottom w:val="single" w:color="cfcfcf" w:sz="8"/>
              <w:right w:val="single" w:color="cfcfcf" w:sz="8"/>
            </w:tcBorders>
          </w:tcP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Хозяйственно-питьевой водопровод</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Сеть оборотного водоснабжения предприятия</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Жесткость, мг-экв/л, не более:</w:t>
            </w:r>
          </w:p>
        </w:tc>
        <w:tc>
          <w:tcPr>
            <w:tcW w:w="4063" w:type="dxa"/>
            <w:tcBorders>
              <w:top w:val="single" w:color="cfcfcf" w:sz="8"/>
              <w:left w:val="single" w:color="cfcfcf" w:sz="8"/>
              <w:bottom w:val="single" w:color="cfcfcf" w:sz="8"/>
              <w:right w:val="single" w:color="cfcfcf" w:sz="8"/>
            </w:tcBorders>
            <w:vAlign w:val="center"/>
          </w:tcPr>
          <w:p>
            <w:pPr>
              <w:spacing w:after="0"/>
              <w:ind w:left="0"/>
              <w:jc w:val="left"/>
            </w:pPr>
          </w:p>
        </w:tc>
        <w:tc>
          <w:tcPr>
            <w:tcW w:w="3969"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общая</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карбонатная</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5</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Содержание, мг/л, не более:</w:t>
            </w:r>
          </w:p>
        </w:tc>
        <w:tc>
          <w:tcPr>
            <w:tcW w:w="4063" w:type="dxa"/>
            <w:tcBorders>
              <w:top w:val="single" w:color="cfcfcf" w:sz="8"/>
              <w:left w:val="single" w:color="cfcfcf" w:sz="8"/>
              <w:bottom w:val="single" w:color="cfcfcf" w:sz="8"/>
              <w:right w:val="single" w:color="cfcfcf" w:sz="8"/>
            </w:tcBorders>
            <w:vAlign w:val="center"/>
          </w:tcPr>
          <w:p>
            <w:pPr>
              <w:spacing w:after="0"/>
              <w:ind w:left="0"/>
              <w:jc w:val="left"/>
            </w:pPr>
          </w:p>
        </w:tc>
        <w:tc>
          <w:tcPr>
            <w:tcW w:w="3969" w:type="dxa"/>
            <w:tcBorders>
              <w:top w:val="single" w:color="cfcfcf" w:sz="8"/>
              <w:left w:val="single" w:color="cfcfcf" w:sz="8"/>
              <w:bottom w:val="single" w:color="cfcfcf" w:sz="8"/>
              <w:right w:val="single" w:color="cfcfcf" w:sz="8"/>
            </w:tcBorders>
            <w:vAlign w:val="center"/>
          </w:tcPr>
          <w:p>
            <w:pPr>
              <w:spacing w:after="0"/>
              <w:ind w:left="0"/>
              <w:jc w:val="left"/>
            </w:pP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взвешенных веществ (мутность)</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100</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активного хлора</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0,5</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Нет</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железа</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0,3</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1,5</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рН</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6,5–9,5</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7–8</w:t>
            </w:r>
          </w:p>
        </w:tc>
      </w:tr>
      <w:tr>
        <w:trPr>
          <w:trHeight w:val="30" w:hRule="atLeast"/>
        </w:trPr>
        <w:tc>
          <w:tcPr>
            <w:tcW w:w="7968"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Температура,</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rPr>
              <w:t>о</w:t>
            </w:r>
            <w:r>
              <w:rPr>
                <w:rFonts w:hint="default" w:ascii="Times New Roman" w:hAnsi="Times New Roman"/>
                <w:b w:val="false"/>
                <w:i w:val="false"/>
                <w:color w:val="000000"/>
                <w:sz w:val="24"/>
              </w:rPr>
              <w:t xml:space="preserve"> </w:t>
            </w:r>
            <w:r>
              <w:rPr>
                <w:rFonts w:hint="default" w:ascii="Times New Roman" w:hAnsi="Times New Roman"/>
                <w:b w:val="false"/>
                <w:i w:val="false"/>
                <w:color w:val="000000"/>
                <w:sz w:val="24"/>
              </w:rPr>
              <w:t>С, не более</w:t>
            </w:r>
          </w:p>
        </w:tc>
        <w:tc>
          <w:tcPr>
            <w:tcW w:w="4063"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25</w:t>
            </w:r>
          </w:p>
        </w:tc>
        <w:tc>
          <w:tcPr>
            <w:tcW w:w="3969" w:type="dxa"/>
            <w:tcBorders>
              <w:top w:val="single" w:color="cfcfcf" w:sz="8"/>
              <w:left w:val="single" w:color="cfcfcf" w:sz="8"/>
              <w:bottom w:val="single" w:color="cfcfcf" w:sz="8"/>
              <w:right w:val="single" w:color="cfcfcf" w:sz="8"/>
            </w:tcBorders>
            <w:vAlign w:val="center"/>
          </w:tcPr>
          <w:p>
            <w:pPr>
              <w:spacing w:after="0"/>
              <w:ind w:left="14"/>
              <w:jc w:val="left"/>
            </w:pPr>
            <w:r>
              <w:rPr>
                <w:rFonts w:hint="default" w:ascii="Times New Roman" w:hAnsi="Times New Roman"/>
                <w:b w:val="false"/>
                <w:i w:val="false"/>
                <w:color w:val="000000"/>
                <w:sz w:val="24"/>
              </w:rPr>
              <w:t>30</w:t>
            </w:r>
          </w:p>
        </w:tc>
      </w:tr>
    </w:tbl>
    <w:bookmarkEnd w:id="5518"/>
    <w:sectPr w:rsidRPr="004B186D" w:rsidR="007052D1" w:rsidSect="00510309">
      <w:headerReference w:type="even" r:id="rId7"/>
      <w:headerReference w:type="default" r:id="rId8"/>
      <w:footerReference w:type="even" r:id="rId9"/>
      <w:footerReference w:type="default" r:id="rId10"/>
      <w:headerReference w:type="first" r:id="rId11"/>
      <w:footerReference w:type="first" r:id="rId12"/>
      <w:pgSz w:w="11907" w:h="16839" w:code="9"/>
      <w:pgMar w:top="1440" w:right="851" w:bottom="1440" w:left="1418" w:header="340" w:footer="0" w:gutter="0"/>
      <w:cols w:space="720"/>
      <w:titlePg/>
      <w:docGrid w:linePitch="299"/>
    </w:sectPr>
  </w:body>
</w:document>
</file>

<file path=word/endnotes.xml><?xml version="1.0" encoding="utf-8"?>
<w:endnot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endnote w:type="separator" w:id="-1">
    <w:p w:rsidR="0066666C" w:rsidP="009009E7" w:rsidRDefault="0066666C">
      <w:pPr>
        <w:spacing w:after="0" w:line="240" w:lineRule="auto"/>
      </w:pPr>
      <w:r>
        <w:separator/>
      </w:r>
    </w:p>
  </w:endnote>
  <w:endnote w:type="continuationSeparator" w:id="0">
    <w:p w:rsidR="0066666C" w:rsidP="009009E7" w:rsidRDefault="00666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f0"/>
    </w:pPr>
  </w:p>
</w:ftr>
</file>

<file path=word/footer2.xml><?xml version="1.0" encoding="utf-8"?>
<w:ft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sdt>
    <w:sdtPr>
      <w:id w:val="83894483"/>
      <w:docPartObj>
        <w:docPartGallery w:val="Page Numbers (Bottom of Page)"/>
        <w:docPartUnique/>
      </w:docPartObj>
    </w:sdtPr>
    <w:sdtContent>
      <w:p w:rsidR="009E4832" w:rsidRDefault="009E4832">
        <w:pPr>
          <w:pStyle w:val="af0"/>
          <w:jc w:val="right"/>
          <w:rPr>
            <w:lang w:val="ru-RU"/>
          </w:rPr>
        </w:pPr>
      </w:p>
      <w:p w:rsidR="009E4832" w:rsidRDefault="00F92DA8">
        <w:pPr>
          <w:pStyle w:val="af0"/>
          <w:jc w:val="right"/>
        </w:pPr>
        <w:fldSimple w:instr=" PAGE   \* MERGEFORMAT ">
          <w:r w:rsidR="00510309">
            <w:rPr>
              <w:noProof/>
            </w:rPr>
            <w:t>1</w:t>
          </w:r>
        </w:fldSimple>
      </w:p>
    </w:sdtContent>
  </w:sdt>
  <w:p w:rsidR="009E4832" w:rsidRDefault="009E4832">
    <w:pPr>
      <w:pStyle w:val="af0"/>
    </w:pPr>
  </w:p>
</w:ftr>
</file>

<file path=word/footer3.xml><?xml version="1.0" encoding="utf-8"?>
<w:ft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f0"/>
    </w:pPr>
  </w:p>
</w:ftr>
</file>

<file path=word/footnotes.xml><?xml version="1.0" encoding="utf-8"?>
<w:footnot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otnote w:type="separator" w:id="-1">
    <w:p w:rsidR="0066666C" w:rsidP="009009E7" w:rsidRDefault="0066666C">
      <w:pPr>
        <w:spacing w:after="0" w:line="240" w:lineRule="auto"/>
      </w:pPr>
      <w:r>
        <w:separator/>
      </w:r>
    </w:p>
  </w:footnote>
  <w:footnote w:type="continuationSeparator" w:id="0">
    <w:p w:rsidR="0066666C" w:rsidP="009009E7" w:rsidRDefault="0066666C">
      <w:pPr>
        <w:spacing w:after="0" w:line="240" w:lineRule="auto"/>
      </w:pPr>
      <w:r>
        <w:continuationSeparator/>
      </w:r>
    </w:p>
  </w:footnote>
</w:footnotes>
</file>

<file path=word/header1.xml><?xml version="1.0" encoding="utf-8"?>
<w:hd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3"/>
    </w:pPr>
  </w:p>
</w:hdr>
</file>

<file path=word/header2.xml><?xml version="1.0" encoding="utf-8"?>
<w:hd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Pr="00EB7F03" w:rsidR="00F2236A" w:rsidP="00F2236A" w:rsidRDefault="00510309">
    <w:pPr>
      <w:spacing w:before="120" w:after="120" w:line="240" w:lineRule="exact"/>
      <w:ind w:left="5664" w:firstLine="708"/>
      <w:rPr>
        <w:lang w:val="ru-RU"/>
      </w:rPr>
    </w:pPr>
    <w:r>
      <w:rPr>
        <w:rFonts w:ascii="Times New Roman" w:hAnsi="Times New Roman"/>
        <w:b/>
        <w:color w:val="808080"/>
        <w:sz w:val="24"/>
        <w:lang w:val="ru-RU"/>
      </w:rPr>
      <w:t xml:space="preserve">                            </w:t>
    </w:r>
    <w:r w:rsidR="00EB7F03">
      <w:rPr>
        <w:rFonts w:ascii="Times New Roman" w:hAnsi="Times New Roman"/>
        <w:b/>
        <w:color w:val="808080"/>
        <w:sz w:val="24"/>
      </w:rPr>
      <w:t xml:space="preserve">ИС </w:t>
    </w:r>
    <w:proofErr w:type="spellStart"/>
    <w:r w:rsidR="00EB7F03">
      <w:rPr>
        <w:rFonts w:ascii="Times New Roman" w:hAnsi="Times New Roman"/>
        <w:b/>
        <w:color w:val="808080"/>
        <w:sz w:val="24"/>
      </w:rPr>
      <w:t>BestProfi</w:t>
    </w:r>
    <w:proofErr w:type="spellEnd"/>
    <w:r w:rsidR="00FE2695">
      <w:rPr>
        <w:rFonts w:ascii="Times New Roman" w:hAnsi="Times New Roman"/>
        <w:b/>
        <w:color w:val="808080"/>
        <w:sz w:val="24"/>
      </w:rPr>
      <w:t>©</w:t>
    </w:r>
  </w:p>
  <w:p w:rsidRPr="00F2236A" w:rsidR="00F2236A" w:rsidRDefault="00F2236A">
    <w:pPr>
      <w:pStyle w:val="a3"/>
      <w:rPr>
        <w:lang w:val="ru-RU"/>
      </w:rPr>
    </w:pPr>
  </w:p>
</w:hdr>
</file>

<file path=word/header3.xml><?xml version="1.0" encoding="utf-8"?>
<w:hdr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3"/>
    </w:pP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ettings.xml><?xml version="1.0" encoding="utf-8"?>
<w:setting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7052D1"/>
    <w:rsid w:val="000331DF"/>
    <w:rsid w:val="00085A79"/>
    <w:rsid w:val="000E36DE"/>
    <w:rsid w:val="000F6285"/>
    <w:rsid w:val="000F797C"/>
    <w:rsid w:val="00136E2F"/>
    <w:rsid w:val="001740B3"/>
    <w:rsid w:val="002104B6"/>
    <w:rsid w:val="0022165D"/>
    <w:rsid w:val="002D06BC"/>
    <w:rsid w:val="00305DDC"/>
    <w:rsid w:val="003C5E47"/>
    <w:rsid w:val="00441C76"/>
    <w:rsid w:val="00457CEC"/>
    <w:rsid w:val="0047076A"/>
    <w:rsid w:val="004B186D"/>
    <w:rsid w:val="004F4E32"/>
    <w:rsid w:val="00510309"/>
    <w:rsid w:val="0051030D"/>
    <w:rsid w:val="00522570"/>
    <w:rsid w:val="00522B37"/>
    <w:rsid w:val="005471CA"/>
    <w:rsid w:val="005606C9"/>
    <w:rsid w:val="005E21E8"/>
    <w:rsid w:val="005F3E6F"/>
    <w:rsid w:val="00606AB0"/>
    <w:rsid w:val="0066666C"/>
    <w:rsid w:val="0070484F"/>
    <w:rsid w:val="007052D1"/>
    <w:rsid w:val="007C5BF9"/>
    <w:rsid w:val="007E2E76"/>
    <w:rsid w:val="007E4BC4"/>
    <w:rsid w:val="007F4CF2"/>
    <w:rsid w:val="0086658D"/>
    <w:rsid w:val="00893289"/>
    <w:rsid w:val="009009E7"/>
    <w:rsid w:val="00905603"/>
    <w:rsid w:val="009E4832"/>
    <w:rsid w:val="009E74AE"/>
    <w:rsid w:val="00A24E66"/>
    <w:rsid w:val="00A64579"/>
    <w:rsid w:val="00A97A2C"/>
    <w:rsid w:val="00B55C92"/>
    <w:rsid w:val="00BE4A52"/>
    <w:rsid w:val="00CA0FC6"/>
    <w:rsid w:val="00D97C27"/>
    <w:rsid w:val="00DB1F14"/>
    <w:rsid w:val="00DC7685"/>
    <w:rsid w:val="00DF7D30"/>
    <w:rsid w:val="00EB7F03"/>
    <w:rsid w:val="00EF4462"/>
    <w:rsid w:val="00F15294"/>
    <w:rsid w:val="00F17CE3"/>
    <w:rsid w:val="00F2236A"/>
    <w:rsid w:val="00F40D11"/>
    <w:rsid w:val="00F4756E"/>
    <w:rsid w:val="00F70FC5"/>
    <w:rsid w:val="00F81486"/>
    <w:rsid w:val="00F92DA8"/>
    <w:rsid w:val="00F937BE"/>
    <w:rsid w:val="00F950F2"/>
    <w:rsid w:val="00FE2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spidmax="22530" v:ext="edit"/>
    <o:shapelayout v:ext="edit">
      <o:idmap data="1" v:ext="edit"/>
    </o:shapelayout>
  </w:shapeDefaults>
  <w:decimalSymbol w:val=","/>
  <w:listSeparator w:val=";"/>
</w:setting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a" w:default="true">
    <w:name w:val="Normal"/>
    <w:basedOn w:val="DocDefaults"/>
    <w:qFormat/>
    <w:rsid w:val="004A3277"/>
  </w:style>
  <w:style w:type="paragraph" w:styleId="1">
    <w:name w:val="heading 1"/>
    <w:basedOn w:val="a"/>
    <w:next w:val="a"/>
    <w:link w:val="10"/>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a0" w:default="true">
    <w:name w:val="Default Paragraph Font"/>
    <w:uiPriority w:val="1"/>
    <w:semiHidden/>
    <w:unhideWhenUsed/>
  </w:style>
  <w:style w:type="table" w:styleId="a1" w:default="true">
    <w:name w:val="Normal Table"/>
    <w:uiPriority w:val="99"/>
    <w:semiHidden/>
    <w:unhideWhenUsed/>
    <w:qFormat/>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styleId="a4" w:customStyle="true">
    <w:name w:val="Верхний колонтитул Знак"/>
    <w:basedOn w:val="a0"/>
    <w:link w:val="a3"/>
    <w:uiPriority w:val="99"/>
    <w:rsid w:val="00841CD9"/>
  </w:style>
  <w:style w:type="character" w:styleId="10" w:customStyle="true">
    <w:name w:val="Заголовок 1 Знак"/>
    <w:basedOn w:val="a0"/>
    <w:link w:val="1"/>
    <w:uiPriority w:val="9"/>
    <w:rsid w:val="00841CD9"/>
    <w:rPr>
      <w:rFonts w:asciiTheme="majorHAnsi" w:hAnsiTheme="majorHAnsi" w:eastAsiaTheme="majorEastAsia" w:cstheme="majorBidi"/>
      <w:b/>
      <w:bCs/>
      <w:color w:val="365F91" w:themeColor="accent1" w:themeShade="BF"/>
      <w:sz w:val="28"/>
      <w:szCs w:val="28"/>
    </w:rPr>
  </w:style>
  <w:style w:type="character" w:styleId="20" w:customStyle="true">
    <w:name w:val="Заголовок 2 Знак"/>
    <w:basedOn w:val="a0"/>
    <w:link w:val="2"/>
    <w:uiPriority w:val="9"/>
    <w:rsid w:val="00841CD9"/>
    <w:rPr>
      <w:rFonts w:asciiTheme="majorHAnsi" w:hAnsiTheme="majorHAnsi" w:eastAsiaTheme="majorEastAsia" w:cstheme="majorBidi"/>
      <w:b/>
      <w:bCs/>
      <w:color w:val="4F81BD" w:themeColor="accent1"/>
      <w:sz w:val="26"/>
      <w:szCs w:val="26"/>
    </w:rPr>
  </w:style>
  <w:style w:type="character" w:styleId="30" w:customStyle="true">
    <w:name w:val="Заголовок 3 Знак"/>
    <w:basedOn w:val="a0"/>
    <w:link w:val="3"/>
    <w:uiPriority w:val="9"/>
    <w:rsid w:val="00841CD9"/>
    <w:rPr>
      <w:rFonts w:asciiTheme="majorHAnsi" w:hAnsiTheme="majorHAnsi" w:eastAsiaTheme="majorEastAsia" w:cstheme="majorBidi"/>
      <w:b/>
      <w:bCs/>
      <w:color w:val="4F81BD" w:themeColor="accent1"/>
    </w:rPr>
  </w:style>
  <w:style w:type="character" w:styleId="40" w:customStyle="true">
    <w:name w:val="Заголовок 4 Знак"/>
    <w:basedOn w:val="a0"/>
    <w:link w:val="4"/>
    <w:uiPriority w:val="9"/>
    <w:rsid w:val="00841CD9"/>
    <w:rPr>
      <w:rFonts w:asciiTheme="majorHAnsi" w:hAnsiTheme="majorHAnsi" w:eastAsiaTheme="majorEastAsia"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a7" w:customStyle="true">
    <w:name w:val="Подзаголовок Знак"/>
    <w:basedOn w:val="a0"/>
    <w:link w:val="a6"/>
    <w:uiPriority w:val="11"/>
    <w:rsid w:val="00841CD9"/>
    <w:rPr>
      <w:rFonts w:asciiTheme="majorHAnsi" w:hAnsiTheme="majorHAnsi" w:eastAsiaTheme="majorEastAsia"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a9" w:customStyle="true">
    <w:name w:val="Название Знак"/>
    <w:basedOn w:val="a0"/>
    <w:link w:val="a8"/>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40B3"/>
    <w:rPr>
      <w:color w:val="0000FF" w:themeColor="hyperlink"/>
      <w:u w:val="single"/>
    </w:rPr>
  </w:style>
  <w:style w:type="table" w:styleId="ac">
    <w:name w:val="Table Grid"/>
    <w:basedOn w:val="a1"/>
    <w:uiPriority w:val="59"/>
    <w:rsid w:val="001740B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DocDefaults" w:customStyle="true">
    <w:name w:val="DocDefaults"/>
    <w:rsid w:val="001740B3"/>
    <w:pPr>
      <w:spacing w:after="200" w:line="276" w:lineRule="auto"/>
    </w:pPr>
    <w:rPr>
      <w:rFonts w:asciiTheme="minorHAnsi" w:hAnsiTheme="minorHAnsi" w:eastAsiaTheme="minorHAnsi" w:cstheme="minorBidi"/>
      <w:sz w:val="22"/>
      <w:szCs w:val="22"/>
      <w:lang w:val="en-US" w:eastAsia="en-US" w:bidi="ar-SA"/>
    </w:rPr>
  </w:style>
  <w:style w:type="paragraph" w:styleId="ae">
    <w:name w:val="Balloon Text"/>
    <w:basedOn w:val="a"/>
    <w:link w:val="af"/>
    <w:uiPriority w:val="99"/>
    <w:semiHidden/>
    <w:unhideWhenUsed/>
    <w:rsid w:val="002D06BC"/>
    <w:pPr>
      <w:spacing w:after="0" w:line="240" w:lineRule="auto"/>
    </w:pPr>
    <w:rPr>
      <w:rFonts w:ascii="Tahoma" w:hAnsi="Tahoma" w:cs="Tahoma"/>
      <w:sz w:val="16"/>
      <w:szCs w:val="16"/>
    </w:rPr>
  </w:style>
  <w:style w:type="character" w:styleId="af" w:customStyle="true">
    <w:name w:val="Текст выноски Знак"/>
    <w:basedOn w:val="a0"/>
    <w:link w:val="ae"/>
    <w:uiPriority w:val="99"/>
    <w:semiHidden/>
    <w:rsid w:val="002D06BC"/>
    <w:rPr>
      <w:rFonts w:ascii="Tahoma" w:hAnsi="Tahoma" w:cs="Tahoma"/>
      <w:sz w:val="16"/>
      <w:szCs w:val="16"/>
    </w:rPr>
  </w:style>
  <w:style w:type="paragraph" w:styleId="af0">
    <w:name w:val="footer"/>
    <w:basedOn w:val="a"/>
    <w:link w:val="af1"/>
    <w:uiPriority w:val="99"/>
    <w:unhideWhenUsed/>
    <w:rsid w:val="009009E7"/>
    <w:pPr>
      <w:tabs>
        <w:tab w:val="center" w:pos="4677"/>
        <w:tab w:val="right" w:pos="9355"/>
      </w:tabs>
      <w:spacing w:after="0" w:line="240" w:lineRule="auto"/>
    </w:pPr>
  </w:style>
  <w:style w:type="character" w:styleId="af1" w:customStyle="true">
    <w:name w:val="Нижний колонтитул Знак"/>
    <w:basedOn w:val="a0"/>
    <w:link w:val="af0"/>
    <w:uiPriority w:val="99"/>
    <w:rsid w:val="009009E7"/>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Target="header2.xml" Type="http://schemas.openxmlformats.org/officeDocument/2006/relationships/header" Id="rId8"/><Relationship Target="fontTable.xml" Type="http://schemas.openxmlformats.org/officeDocument/2006/relationships/fontTable" Id="rId13"/><Relationship Target="settings.xml" Type="http://schemas.openxmlformats.org/officeDocument/2006/relationships/settings" Id="rId3"/><Relationship Target="header1.xml" Type="http://schemas.openxmlformats.org/officeDocument/2006/relationships/header" Id="rId7"/><Relationship Target="footer3.xml" Type="http://schemas.openxmlformats.org/officeDocument/2006/relationships/footer" Id="rId12"/><Relationship Target="styles.xml" Type="http://schemas.openxmlformats.org/officeDocument/2006/relationships/styles" Id="rId2"/><Relationship Target="../customXml/item1.xml" Type="http://schemas.openxmlformats.org/officeDocument/2006/relationships/customXml" Id="rId1"/><Relationship Target="endnotes.xml" Type="http://schemas.openxmlformats.org/officeDocument/2006/relationships/endnotes" Id="rId6"/><Relationship Target="header3.xml" Type="http://schemas.openxmlformats.org/officeDocument/2006/relationships/header" Id="rId11"/><Relationship Target="footnotes.xml" Type="http://schemas.openxmlformats.org/officeDocument/2006/relationships/footnotes" Id="rId5"/><Relationship Target="stylesWithEffects.xml" Type="http://schemas.microsoft.com/office/2007/relationships/stylesWithEffects" Id="rId15"/><Relationship Target="footer2.xml" Type="http://schemas.openxmlformats.org/officeDocument/2006/relationships/footer" Id="rId10"/><Relationship Target="webSettings.xml" Type="http://schemas.openxmlformats.org/officeDocument/2006/relationships/webSettings" Id="rId4"/><Relationship Target="footer1.xml" Type="http://schemas.openxmlformats.org/officeDocument/2006/relationships/footer" Id="rId9"/><Relationship Target="theme/theme1.xml" Type="http://schemas.openxmlformats.org/officeDocument/2006/relationships/theme" Id="rId14"/><Relationship Target="numbering.xml" Type="http://schemas.openxmlformats.org/officeDocument/2006/relationships/numbering" Id="rId16"/><Relationship TargetMode="External" Target="https://bestprofi.com/home/section/546561581" Type="http://schemas.openxmlformats.org/officeDocument/2006/relationships/hyperlink" Id="rId17"/><Relationship TargetMode="External" Target="https://bestprofi.com/home/section/578630286" Type="http://schemas.openxmlformats.org/officeDocument/2006/relationships/hyperlink" Id="rId18"/><Relationship TargetMode="External" Target="https://bestprofi.com/home/section/410153440" Type="http://schemas.openxmlformats.org/officeDocument/2006/relationships/hyperlink" Id="rId19"/><Relationship TargetMode="External" Target="https://bestprofi.com/home/section/578630286" Type="http://schemas.openxmlformats.org/officeDocument/2006/relationships/hyperlink" Id="rId20"/><Relationship TargetMode="External" Target="https://bestprofi.com/home/section/410153440" Type="http://schemas.openxmlformats.org/officeDocument/2006/relationships/hyperlink" Id="rId21"/><Relationship TargetMode="External" Target="https://bestprofi.com/home/section/1874334160" Type="http://schemas.openxmlformats.org/officeDocument/2006/relationships/hyperlink" Id="rId22"/><Relationship TargetMode="External" Target="https://bestprofi.com/home/section/967917613" Type="http://schemas.openxmlformats.org/officeDocument/2006/relationships/hyperlink"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ode="External" Target="https://bestprofi.com/home/section/564621587" Type="http://schemas.openxmlformats.org/officeDocument/2006/relationships/hyperlink"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ode="External" Target="https://bestprofi.com/home/section/87711812" Type="http://schemas.openxmlformats.org/officeDocument/2006/relationships/hyperlink"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ode="External" Target="https://bestprofi.com/home/section/513984110" Type="http://schemas.openxmlformats.org/officeDocument/2006/relationships/hyperlink"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61C1D7C8-AF16-4C08-BB20-EDD9C536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0</Words>
  <Characters>0</Characters>
  <Application>Microsoft Office Word</Application>
  <DocSecurity>0</DocSecurity>
  <Lines>1</Lines>
  <Paragraphs>1</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29</cp:revision>
  <dcterms:created xsi:type="dcterms:W3CDTF">2015-11-29T11:50:00Z</dcterms:created>
  <dcterms:modified xsi:type="dcterms:W3CDTF">2016-02-26T04:36:00Z</dcterms:modified>
</cp:coreProperties>
</file>